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99B0" w14:textId="77777777" w:rsidR="004F038B" w:rsidRDefault="00465BB3">
      <w:pPr>
        <w:pStyle w:val="BodyText"/>
        <w:ind w:left="70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AE99D6" wp14:editId="72AE99D7">
            <wp:extent cx="1878943" cy="648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43" cy="64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99B3" w14:textId="77777777" w:rsidR="004F038B" w:rsidRDefault="00465BB3">
      <w:pPr>
        <w:pStyle w:val="Title"/>
      </w:pPr>
      <w:r>
        <w:rPr>
          <w:color w:val="4471C4"/>
        </w:rPr>
        <w:t>16</w:t>
      </w:r>
      <w:r>
        <w:rPr>
          <w:color w:val="4471C4"/>
          <w:spacing w:val="32"/>
        </w:rPr>
        <w:t xml:space="preserve"> </w:t>
      </w:r>
      <w:r>
        <w:rPr>
          <w:color w:val="4471C4"/>
        </w:rPr>
        <w:t>TO</w:t>
      </w:r>
      <w:r>
        <w:rPr>
          <w:color w:val="4471C4"/>
          <w:spacing w:val="34"/>
        </w:rPr>
        <w:t xml:space="preserve"> </w:t>
      </w:r>
      <w:r>
        <w:rPr>
          <w:color w:val="4471C4"/>
        </w:rPr>
        <w:t>19</w:t>
      </w:r>
      <w:r>
        <w:rPr>
          <w:color w:val="4471C4"/>
          <w:spacing w:val="35"/>
        </w:rPr>
        <w:t xml:space="preserve"> </w:t>
      </w:r>
      <w:r>
        <w:rPr>
          <w:color w:val="4471C4"/>
        </w:rPr>
        <w:t>TUITION</w:t>
      </w:r>
      <w:r>
        <w:rPr>
          <w:color w:val="4471C4"/>
          <w:spacing w:val="34"/>
        </w:rPr>
        <w:t xml:space="preserve"> </w:t>
      </w:r>
      <w:r>
        <w:rPr>
          <w:color w:val="4471C4"/>
          <w:spacing w:val="10"/>
        </w:rPr>
        <w:t>FUND</w:t>
      </w:r>
    </w:p>
    <w:p w14:paraId="72AE99B4" w14:textId="0725B7D0" w:rsidR="004F038B" w:rsidRDefault="00465BB3">
      <w:pPr>
        <w:pStyle w:val="BodyText"/>
        <w:spacing w:before="377" w:line="276" w:lineRule="auto"/>
        <w:ind w:left="200" w:right="968"/>
      </w:pPr>
      <w:r>
        <w:rPr>
          <w:color w:val="171717"/>
        </w:rPr>
        <w:t>The purpose of this statement is to set out how The Trafford College Group (TCG) will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use its 16 to 19 tuition fund allocation to support students who have been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academically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disadvantaged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due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6"/>
        </w:rPr>
        <w:t xml:space="preserve"> </w:t>
      </w:r>
      <w:r w:rsidR="00037658">
        <w:rPr>
          <w:color w:val="171717"/>
        </w:rPr>
        <w:t>the impact of the pandemic.</w:t>
      </w:r>
    </w:p>
    <w:p w14:paraId="72AE99B5" w14:textId="25405859" w:rsidR="004F038B" w:rsidRDefault="000959BB">
      <w:pPr>
        <w:pStyle w:val="BodyText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2AE99D9" wp14:editId="056F98AA">
                <wp:simplePos x="0" y="0"/>
                <wp:positionH relativeFrom="page">
                  <wp:posOffset>862965</wp:posOffset>
                </wp:positionH>
                <wp:positionV relativeFrom="paragraph">
                  <wp:posOffset>191135</wp:posOffset>
                </wp:positionV>
                <wp:extent cx="5798820" cy="230505"/>
                <wp:effectExtent l="0" t="0" r="0" b="0"/>
                <wp:wrapTopAndBottom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30505"/>
                          <a:chOff x="1359" y="301"/>
                          <a:chExt cx="9132" cy="363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1358" y="301"/>
                            <a:ext cx="9132" cy="363"/>
                          </a:xfrm>
                          <a:custGeom>
                            <a:avLst/>
                            <a:gdLst>
                              <a:gd name="T0" fmla="+- 0 10490 1359"/>
                              <a:gd name="T1" fmla="*/ T0 w 9132"/>
                              <a:gd name="T2" fmla="+- 0 301 301"/>
                              <a:gd name="T3" fmla="*/ 301 h 363"/>
                              <a:gd name="T4" fmla="+- 0 1373 1359"/>
                              <a:gd name="T5" fmla="*/ T4 w 9132"/>
                              <a:gd name="T6" fmla="+- 0 301 301"/>
                              <a:gd name="T7" fmla="*/ 301 h 363"/>
                              <a:gd name="T8" fmla="+- 0 1359 1359"/>
                              <a:gd name="T9" fmla="*/ T8 w 9132"/>
                              <a:gd name="T10" fmla="+- 0 301 301"/>
                              <a:gd name="T11" fmla="*/ 301 h 363"/>
                              <a:gd name="T12" fmla="+- 0 1359 1359"/>
                              <a:gd name="T13" fmla="*/ T12 w 9132"/>
                              <a:gd name="T14" fmla="+- 0 316 301"/>
                              <a:gd name="T15" fmla="*/ 316 h 363"/>
                              <a:gd name="T16" fmla="+- 0 1359 1359"/>
                              <a:gd name="T17" fmla="*/ T16 w 9132"/>
                              <a:gd name="T18" fmla="+- 0 664 301"/>
                              <a:gd name="T19" fmla="*/ 664 h 363"/>
                              <a:gd name="T20" fmla="+- 0 1373 1359"/>
                              <a:gd name="T21" fmla="*/ T20 w 9132"/>
                              <a:gd name="T22" fmla="+- 0 664 301"/>
                              <a:gd name="T23" fmla="*/ 664 h 363"/>
                              <a:gd name="T24" fmla="+- 0 1373 1359"/>
                              <a:gd name="T25" fmla="*/ T24 w 9132"/>
                              <a:gd name="T26" fmla="+- 0 316 301"/>
                              <a:gd name="T27" fmla="*/ 316 h 363"/>
                              <a:gd name="T28" fmla="+- 0 10490 1359"/>
                              <a:gd name="T29" fmla="*/ T28 w 9132"/>
                              <a:gd name="T30" fmla="+- 0 316 301"/>
                              <a:gd name="T31" fmla="*/ 316 h 363"/>
                              <a:gd name="T32" fmla="+- 0 10490 1359"/>
                              <a:gd name="T33" fmla="*/ T32 w 9132"/>
                              <a:gd name="T34" fmla="+- 0 301 301"/>
                              <a:gd name="T35" fmla="*/ 30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2" h="363">
                                <a:moveTo>
                                  <a:pt x="913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3"/>
                                </a:lnTo>
                                <a:lnTo>
                                  <a:pt x="14" y="363"/>
                                </a:lnTo>
                                <a:lnTo>
                                  <a:pt x="14" y="15"/>
                                </a:lnTo>
                                <a:lnTo>
                                  <a:pt x="9131" y="15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01"/>
                            <a:ext cx="913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99DE" w14:textId="77777777" w:rsidR="004F038B" w:rsidRDefault="00465BB3">
                              <w:pPr>
                                <w:spacing w:before="52"/>
                                <w:ind w:left="81"/>
                              </w:pPr>
                              <w:r>
                                <w:rPr>
                                  <w:color w:val="1F3762"/>
                                  <w:spacing w:val="11"/>
                                </w:rPr>
                                <w:t>INTENT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99D9" id="docshapegroup2" o:spid="_x0000_s1026" style="position:absolute;margin-left:67.95pt;margin-top:15.05pt;width:456.6pt;height:18.15pt;z-index:-15728640;mso-wrap-distance-left:0;mso-wrap-distance-right:0;mso-position-horizontal-relative:page" coordorigin="1359,301" coordsize="913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">
                <v:shape id="docshape3" o:spid="_x0000_s1027" style="position:absolute;left:1358;top:301;width:9132;height:363;visibility:visible;mso-wrap-style:square;v-text-anchor:top" coordsize="91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" path="m9131,l14,,,,,15,,363r14,l14,15r9117,l9131,xe" fillcolor="#4471c4" stroked="f">
                  <v:path arrowok="t" o:connecttype="custom" o:connectlocs="9131,301;14,301;0,301;0,316;0,664;14,664;14,316;9131,316;9131,301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358;top:301;width:913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AE99DE" w14:textId="77777777" w:rsidR="004F038B" w:rsidRDefault="00465BB3">
                        <w:pPr>
                          <w:spacing w:before="52"/>
                          <w:ind w:left="81"/>
                        </w:pPr>
                        <w:r>
                          <w:rPr>
                            <w:color w:val="1F3762"/>
                            <w:spacing w:val="11"/>
                          </w:rPr>
                          <w:t>INTENT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AE99B6" w14:textId="77777777" w:rsidR="004F038B" w:rsidRPr="00181573" w:rsidRDefault="004F038B">
      <w:pPr>
        <w:pStyle w:val="BodyText"/>
        <w:spacing w:before="8"/>
        <w:rPr>
          <w:sz w:val="8"/>
          <w:szCs w:val="16"/>
        </w:rPr>
      </w:pPr>
    </w:p>
    <w:p w14:paraId="72AE99B7" w14:textId="40E0B12F" w:rsidR="004F038B" w:rsidRDefault="00465BB3">
      <w:pPr>
        <w:pStyle w:val="BodyText"/>
        <w:spacing w:before="101" w:line="276" w:lineRule="auto"/>
        <w:ind w:left="200" w:right="883"/>
        <w:rPr>
          <w:color w:val="171717"/>
        </w:rPr>
      </w:pPr>
      <w:r>
        <w:rPr>
          <w:color w:val="171717"/>
        </w:rPr>
        <w:t>In response to the Global Pandemic, TCG have been provided with an additional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amount of 16-19 Tuition Funding from the ESFA.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This funding will be used to provide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additional support and extra tuition for any learner identified as</w:t>
      </w:r>
      <w:r w:rsidR="00F851D8">
        <w:rPr>
          <w:color w:val="171717"/>
        </w:rPr>
        <w:t xml:space="preserve"> requiring support </w:t>
      </w:r>
      <w:r w:rsidR="00620AA3">
        <w:rPr>
          <w:color w:val="171717"/>
        </w:rPr>
        <w:t>following on from</w:t>
      </w:r>
      <w:r>
        <w:rPr>
          <w:color w:val="171717"/>
        </w:rPr>
        <w:t xml:space="preserve"> the initial assessment process, or where there is further evidence that added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support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enhance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progression or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destination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opportunities.</w:t>
      </w:r>
    </w:p>
    <w:p w14:paraId="32BF94A0" w14:textId="77777777" w:rsidR="008A34D6" w:rsidRDefault="008A34D6" w:rsidP="008A34D6">
      <w:pPr>
        <w:pStyle w:val="BodyText"/>
        <w:spacing w:before="101" w:line="276" w:lineRule="auto"/>
        <w:ind w:left="200" w:right="883"/>
      </w:pPr>
      <w:r>
        <w:t xml:space="preserve">All students must be on a 16 to 19 study programme and the funding should be used to support the tuition activity above and beyond the programmes of education already planned. </w:t>
      </w:r>
    </w:p>
    <w:p w14:paraId="130906C5" w14:textId="7AB58A19" w:rsidR="008A34D6" w:rsidRDefault="008A34D6" w:rsidP="008A34D6">
      <w:pPr>
        <w:pStyle w:val="BodyText"/>
        <w:spacing w:before="101" w:line="276" w:lineRule="auto"/>
        <w:ind w:left="200" w:right="883"/>
      </w:pPr>
      <w:r>
        <w:t>It is for students who:</w:t>
      </w:r>
    </w:p>
    <w:p w14:paraId="5C5573EE" w14:textId="552584B0" w:rsidR="008A34D6" w:rsidRDefault="008A34D6" w:rsidP="008A34D6">
      <w:pPr>
        <w:pStyle w:val="BodyText"/>
        <w:spacing w:before="101" w:line="276" w:lineRule="auto"/>
        <w:ind w:left="200" w:right="883"/>
      </w:pPr>
      <w:r>
        <w:t>•</w:t>
      </w:r>
      <w:r>
        <w:tab/>
        <w:t xml:space="preserve">have not achieved a grade 4 or 5 in English and/or </w:t>
      </w:r>
      <w:r w:rsidR="00910903">
        <w:t>m</w:t>
      </w:r>
      <w:r>
        <w:t>aths</w:t>
      </w:r>
    </w:p>
    <w:p w14:paraId="64537A22" w14:textId="5316C4FB" w:rsidR="008A34D6" w:rsidRDefault="008A34D6" w:rsidP="008A34D6">
      <w:pPr>
        <w:pStyle w:val="BodyText"/>
        <w:spacing w:before="101" w:line="276" w:lineRule="auto"/>
        <w:ind w:left="200" w:right="883"/>
      </w:pPr>
      <w:r>
        <w:t>•</w:t>
      </w:r>
      <w:r>
        <w:tab/>
        <w:t xml:space="preserve">have a grade 4 or above in English and/or </w:t>
      </w:r>
      <w:r w:rsidR="00910903">
        <w:t>m</w:t>
      </w:r>
      <w:r>
        <w:t>aths, are from an economically disadvantaged background and need catch-up support. These are defined as students from the 27% most economically deprived areas of the country based on the index of multiple deprivation</w:t>
      </w:r>
      <w:r w:rsidR="00FF669C">
        <w:t>.</w:t>
      </w:r>
    </w:p>
    <w:p w14:paraId="72AE99B8" w14:textId="77777777" w:rsidR="004F038B" w:rsidRPr="00181573" w:rsidRDefault="004F038B">
      <w:pPr>
        <w:pStyle w:val="BodyText"/>
        <w:spacing w:before="10"/>
        <w:rPr>
          <w:sz w:val="14"/>
          <w:szCs w:val="14"/>
        </w:rPr>
      </w:pPr>
    </w:p>
    <w:p w14:paraId="72AE99B9" w14:textId="77777777" w:rsidR="004F038B" w:rsidRDefault="00465BB3">
      <w:pPr>
        <w:pStyle w:val="BodyText"/>
        <w:spacing w:line="276" w:lineRule="auto"/>
        <w:ind w:left="200" w:right="1020"/>
      </w:pPr>
      <w:r>
        <w:rPr>
          <w:color w:val="171717"/>
        </w:rPr>
        <w:t>The additional support underpins TCGs dual mandate to ensure both inclusivity and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career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focussed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curriculum.</w:t>
      </w:r>
    </w:p>
    <w:p w14:paraId="72AE99BA" w14:textId="61A402DE" w:rsidR="004F038B" w:rsidRDefault="000959BB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2AE99DA" wp14:editId="21C6C5EE">
                <wp:simplePos x="0" y="0"/>
                <wp:positionH relativeFrom="page">
                  <wp:posOffset>862965</wp:posOffset>
                </wp:positionH>
                <wp:positionV relativeFrom="paragraph">
                  <wp:posOffset>191770</wp:posOffset>
                </wp:positionV>
                <wp:extent cx="5798820" cy="230505"/>
                <wp:effectExtent l="0" t="0" r="0" b="0"/>
                <wp:wrapTopAndBottom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30505"/>
                          <a:chOff x="1359" y="302"/>
                          <a:chExt cx="9132" cy="363"/>
                        </a:xfrm>
                      </wpg:grpSpPr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1358" y="302"/>
                            <a:ext cx="9132" cy="363"/>
                          </a:xfrm>
                          <a:custGeom>
                            <a:avLst/>
                            <a:gdLst>
                              <a:gd name="T0" fmla="+- 0 10490 1359"/>
                              <a:gd name="T1" fmla="*/ T0 w 9132"/>
                              <a:gd name="T2" fmla="+- 0 302 302"/>
                              <a:gd name="T3" fmla="*/ 302 h 363"/>
                              <a:gd name="T4" fmla="+- 0 1373 1359"/>
                              <a:gd name="T5" fmla="*/ T4 w 9132"/>
                              <a:gd name="T6" fmla="+- 0 302 302"/>
                              <a:gd name="T7" fmla="*/ 302 h 363"/>
                              <a:gd name="T8" fmla="+- 0 1359 1359"/>
                              <a:gd name="T9" fmla="*/ T8 w 9132"/>
                              <a:gd name="T10" fmla="+- 0 302 302"/>
                              <a:gd name="T11" fmla="*/ 302 h 363"/>
                              <a:gd name="T12" fmla="+- 0 1359 1359"/>
                              <a:gd name="T13" fmla="*/ T12 w 9132"/>
                              <a:gd name="T14" fmla="+- 0 317 302"/>
                              <a:gd name="T15" fmla="*/ 317 h 363"/>
                              <a:gd name="T16" fmla="+- 0 1359 1359"/>
                              <a:gd name="T17" fmla="*/ T16 w 9132"/>
                              <a:gd name="T18" fmla="+- 0 665 302"/>
                              <a:gd name="T19" fmla="*/ 665 h 363"/>
                              <a:gd name="T20" fmla="+- 0 1373 1359"/>
                              <a:gd name="T21" fmla="*/ T20 w 9132"/>
                              <a:gd name="T22" fmla="+- 0 665 302"/>
                              <a:gd name="T23" fmla="*/ 665 h 363"/>
                              <a:gd name="T24" fmla="+- 0 1373 1359"/>
                              <a:gd name="T25" fmla="*/ T24 w 9132"/>
                              <a:gd name="T26" fmla="+- 0 317 302"/>
                              <a:gd name="T27" fmla="*/ 317 h 363"/>
                              <a:gd name="T28" fmla="+- 0 10490 1359"/>
                              <a:gd name="T29" fmla="*/ T28 w 9132"/>
                              <a:gd name="T30" fmla="+- 0 317 302"/>
                              <a:gd name="T31" fmla="*/ 317 h 363"/>
                              <a:gd name="T32" fmla="+- 0 10490 1359"/>
                              <a:gd name="T33" fmla="*/ T32 w 9132"/>
                              <a:gd name="T34" fmla="+- 0 302 302"/>
                              <a:gd name="T35" fmla="*/ 302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2" h="363">
                                <a:moveTo>
                                  <a:pt x="913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3"/>
                                </a:lnTo>
                                <a:lnTo>
                                  <a:pt x="14" y="363"/>
                                </a:lnTo>
                                <a:lnTo>
                                  <a:pt x="14" y="15"/>
                                </a:lnTo>
                                <a:lnTo>
                                  <a:pt x="9131" y="15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02"/>
                            <a:ext cx="913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99DF" w14:textId="77777777" w:rsidR="004F038B" w:rsidRDefault="00465BB3">
                              <w:pPr>
                                <w:spacing w:before="52"/>
                                <w:ind w:left="81"/>
                              </w:pPr>
                              <w:r>
                                <w:rPr>
                                  <w:color w:val="1F3762"/>
                                  <w:spacing w:val="9"/>
                                </w:rPr>
                                <w:t>HOW</w:t>
                              </w:r>
                              <w:r>
                                <w:rPr>
                                  <w:color w:val="1F3762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THE</w:t>
                              </w:r>
                              <w:r>
                                <w:rPr>
                                  <w:color w:val="1F3762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  <w:spacing w:val="12"/>
                                </w:rPr>
                                <w:t>COLLEGE</w:t>
                              </w:r>
                              <w:r>
                                <w:rPr>
                                  <w:color w:val="1F3762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  <w:spacing w:val="10"/>
                                </w:rPr>
                                <w:t>WILL</w:t>
                              </w:r>
                              <w:r>
                                <w:rPr>
                                  <w:color w:val="1F3762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USE</w:t>
                              </w:r>
                              <w:r>
                                <w:rPr>
                                  <w:color w:val="1F3762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THE</w:t>
                              </w:r>
                              <w:r>
                                <w:rPr>
                                  <w:color w:val="1F3762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16</w:t>
                              </w:r>
                              <w:r>
                                <w:rPr>
                                  <w:color w:val="1F3762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TO</w:t>
                              </w:r>
                              <w:r>
                                <w:rPr>
                                  <w:color w:val="1F3762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</w:rPr>
                                <w:t>19</w:t>
                              </w:r>
                              <w:r>
                                <w:rPr>
                                  <w:color w:val="1F3762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  <w:spacing w:val="12"/>
                                </w:rPr>
                                <w:t>TUITION</w:t>
                              </w:r>
                              <w:r>
                                <w:rPr>
                                  <w:color w:val="1F3762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  <w:spacing w:val="10"/>
                                </w:rPr>
                                <w:t>FUND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99DA" id="docshapegroup5" o:spid="_x0000_s1029" style="position:absolute;margin-left:67.95pt;margin-top:15.1pt;width:456.6pt;height:18.15pt;z-index:-15728128;mso-wrap-distance-left:0;mso-wrap-distance-right:0;mso-position-horizontal-relative:page" coordorigin="1359,302" coordsize="913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">
                <v:shape id="docshape6" o:spid="_x0000_s1030" style="position:absolute;left:1358;top:302;width:9132;height:363;visibility:visible;mso-wrap-style:square;v-text-anchor:top" coordsize="913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" path="m9131,l14,,,,,15,,363r14,l14,15r9117,l9131,xe" fillcolor="#4471c4" stroked="f">
                  <v:path arrowok="t" o:connecttype="custom" o:connectlocs="9131,302;14,302;0,302;0,317;0,665;14,665;14,317;9131,317;9131,302" o:connectangles="0,0,0,0,0,0,0,0,0"/>
                </v:shape>
                <v:shape id="docshape7" o:spid="_x0000_s1031" type="#_x0000_t202" style="position:absolute;left:1358;top:302;width:913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2AE99DF" w14:textId="77777777" w:rsidR="004F038B" w:rsidRDefault="00465BB3">
                        <w:pPr>
                          <w:spacing w:before="52"/>
                          <w:ind w:left="81"/>
                        </w:pPr>
                        <w:r>
                          <w:rPr>
                            <w:color w:val="1F3762"/>
                            <w:spacing w:val="9"/>
                          </w:rPr>
                          <w:t>HOW</w:t>
                        </w:r>
                        <w:r>
                          <w:rPr>
                            <w:color w:val="1F3762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THE</w:t>
                        </w:r>
                        <w:r>
                          <w:rPr>
                            <w:color w:val="1F3762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1F3762"/>
                            <w:spacing w:val="12"/>
                          </w:rPr>
                          <w:t>COLLEGE</w:t>
                        </w:r>
                        <w:r>
                          <w:rPr>
                            <w:color w:val="1F3762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1F3762"/>
                            <w:spacing w:val="10"/>
                          </w:rPr>
                          <w:t>WILL</w:t>
                        </w:r>
                        <w:r>
                          <w:rPr>
                            <w:color w:val="1F3762"/>
                            <w:spacing w:val="48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USE</w:t>
                        </w:r>
                        <w:r>
                          <w:rPr>
                            <w:color w:val="1F3762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THE</w:t>
                        </w:r>
                        <w:r>
                          <w:rPr>
                            <w:color w:val="1F3762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16</w:t>
                        </w:r>
                        <w:r>
                          <w:rPr>
                            <w:color w:val="1F3762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TO</w:t>
                        </w:r>
                        <w:r>
                          <w:rPr>
                            <w:color w:val="1F3762"/>
                            <w:spacing w:val="43"/>
                          </w:rPr>
                          <w:t xml:space="preserve"> </w:t>
                        </w:r>
                        <w:r>
                          <w:rPr>
                            <w:color w:val="1F3762"/>
                          </w:rPr>
                          <w:t>19</w:t>
                        </w:r>
                        <w:r>
                          <w:rPr>
                            <w:color w:val="1F3762"/>
                            <w:spacing w:val="44"/>
                          </w:rPr>
                          <w:t xml:space="preserve"> </w:t>
                        </w:r>
                        <w:r>
                          <w:rPr>
                            <w:color w:val="1F3762"/>
                            <w:spacing w:val="12"/>
                          </w:rPr>
                          <w:t>TUITION</w:t>
                        </w:r>
                        <w:r>
                          <w:rPr>
                            <w:color w:val="1F3762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1F3762"/>
                            <w:spacing w:val="10"/>
                          </w:rPr>
                          <w:t>FUND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AE99BB" w14:textId="77777777" w:rsidR="004F038B" w:rsidRPr="00181573" w:rsidRDefault="004F038B">
      <w:pPr>
        <w:pStyle w:val="BodyText"/>
        <w:spacing w:before="8"/>
        <w:rPr>
          <w:sz w:val="8"/>
          <w:szCs w:val="16"/>
        </w:rPr>
      </w:pPr>
    </w:p>
    <w:p w14:paraId="72AE99BC" w14:textId="364B4B01" w:rsidR="004F038B" w:rsidRDefault="00465BB3">
      <w:pPr>
        <w:pStyle w:val="BodyText"/>
        <w:spacing w:before="101" w:line="276" w:lineRule="auto"/>
        <w:ind w:left="200" w:right="957"/>
      </w:pPr>
      <w:r>
        <w:t>The 16 to 19 tuition fund will be used to provide small group tuition for students aged</w:t>
      </w:r>
      <w:r>
        <w:rPr>
          <w:spacing w:val="-58"/>
        </w:rPr>
        <w:t xml:space="preserve"> </w:t>
      </w:r>
      <w:r>
        <w:t>16 to 19 who have not yet achieved a grade 4 or above in English and/or maths. In</w:t>
      </w:r>
      <w:r>
        <w:rPr>
          <w:spacing w:val="1"/>
        </w:rPr>
        <w:t xml:space="preserve"> </w:t>
      </w:r>
      <w:r>
        <w:t xml:space="preserve">addition to providing additional provision for English and </w:t>
      </w:r>
      <w:r w:rsidR="00910903">
        <w:t>m</w:t>
      </w:r>
      <w:r>
        <w:t>at</w:t>
      </w:r>
      <w:r w:rsidR="00910903">
        <w:t>hs</w:t>
      </w:r>
      <w:r>
        <w:t xml:space="preserve"> (E&amp;M), the</w:t>
      </w:r>
      <w:r>
        <w:rPr>
          <w:spacing w:val="1"/>
        </w:rPr>
        <w:t xml:space="preserve"> </w:t>
      </w:r>
      <w:r>
        <w:t>fund will be used to support progressing students on vocational courses where</w:t>
      </w:r>
      <w:r>
        <w:rPr>
          <w:spacing w:val="1"/>
        </w:rPr>
        <w:t xml:space="preserve"> </w:t>
      </w:r>
      <w:r>
        <w:t>assessment may have been deferred because of lockdown. Students with Special</w:t>
      </w:r>
      <w:r>
        <w:rPr>
          <w:spacing w:val="1"/>
        </w:rPr>
        <w:t xml:space="preserve"> </w:t>
      </w:r>
      <w:r>
        <w:t>Educational Needs and Disabilities (SEND), up to aged 24, who require additional</w:t>
      </w:r>
      <w:r>
        <w:rPr>
          <w:spacing w:val="1"/>
        </w:rPr>
        <w:t xml:space="preserve"> </w:t>
      </w:r>
      <w:r>
        <w:t>tuition to help them catch up with their studies will also be supported by this</w:t>
      </w:r>
      <w:r>
        <w:rPr>
          <w:spacing w:val="1"/>
        </w:rPr>
        <w:t xml:space="preserve"> </w:t>
      </w:r>
      <w:r>
        <w:t>provision.</w:t>
      </w:r>
    </w:p>
    <w:p w14:paraId="72AE99BD" w14:textId="77777777" w:rsidR="004F038B" w:rsidRPr="00181573" w:rsidRDefault="004F038B">
      <w:pPr>
        <w:pStyle w:val="BodyText"/>
        <w:spacing w:before="11"/>
        <w:rPr>
          <w:sz w:val="14"/>
          <w:szCs w:val="14"/>
        </w:rPr>
      </w:pPr>
    </w:p>
    <w:p w14:paraId="72AE99BF" w14:textId="1A779B03" w:rsidR="004F038B" w:rsidRDefault="00465BB3" w:rsidP="00181573">
      <w:pPr>
        <w:pStyle w:val="BodyText"/>
        <w:spacing w:line="276" w:lineRule="auto"/>
        <w:ind w:left="200" w:right="1002"/>
      </w:pPr>
      <w:r>
        <w:t>Tuition groups will comprise of no more than five students, with the tuition sessions</w:t>
      </w:r>
      <w:r>
        <w:rPr>
          <w:spacing w:val="1"/>
        </w:rPr>
        <w:t xml:space="preserve"> </w:t>
      </w:r>
      <w:r>
        <w:t>scheduled on top of the planned programme of study hours already timetabled for</w:t>
      </w:r>
      <w:r>
        <w:rPr>
          <w:spacing w:val="-58"/>
        </w:rPr>
        <w:t xml:space="preserve"> </w:t>
      </w:r>
      <w:r>
        <w:t>the academic year 202</w:t>
      </w:r>
      <w:r w:rsidR="0002579D">
        <w:t>1/2022</w:t>
      </w:r>
      <w:r>
        <w:t>.</w:t>
      </w:r>
      <w:r>
        <w:rPr>
          <w:spacing w:val="1"/>
        </w:rPr>
        <w:t xml:space="preserve"> </w:t>
      </w:r>
      <w:r>
        <w:t>Tuition and additional support may be delivered using</w:t>
      </w:r>
      <w:r>
        <w:rPr>
          <w:spacing w:val="-58"/>
        </w:rPr>
        <w:t xml:space="preserve"> </w:t>
      </w:r>
      <w:r>
        <w:t>a blend of online and on-campus delivery. TCG will utilise established external</w:t>
      </w:r>
      <w:r>
        <w:rPr>
          <w:spacing w:val="1"/>
        </w:rPr>
        <w:t xml:space="preserve"> </w:t>
      </w:r>
      <w:r>
        <w:t>providers of high-quality tuition, in addition to current staffing, to maximise Tuition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delivery opportunities.</w:t>
      </w:r>
    </w:p>
    <w:p w14:paraId="72AE99C3" w14:textId="64D91335" w:rsidR="00B2476F" w:rsidRDefault="00B2476F">
      <w:pPr>
        <w:spacing w:line="276" w:lineRule="auto"/>
        <w:rPr>
          <w:rFonts w:ascii="Symbol" w:hAnsi="Symbol"/>
        </w:rPr>
        <w:sectPr w:rsidR="00B2476F">
          <w:footerReference w:type="default" r:id="rId11"/>
          <w:type w:val="continuous"/>
          <w:pgSz w:w="11900" w:h="16850"/>
          <w:pgMar w:top="560" w:right="560" w:bottom="1140" w:left="1240" w:header="0" w:footer="953" w:gutter="0"/>
          <w:pgNumType w:start="1"/>
          <w:cols w:space="720"/>
        </w:sectPr>
      </w:pPr>
    </w:p>
    <w:p w14:paraId="72AE99C9" w14:textId="37621231" w:rsidR="004F038B" w:rsidRPr="00B218AC" w:rsidRDefault="00B2476F" w:rsidP="00B218AC">
      <w:pPr>
        <w:pStyle w:val="BodyText"/>
        <w:ind w:left="200"/>
      </w:pPr>
      <w:r>
        <w:rPr>
          <w:sz w:val="26"/>
        </w:rPr>
        <w:lastRenderedPageBreak/>
        <w:tab/>
      </w:r>
      <w:r>
        <w:t>Support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ways:</w:t>
      </w:r>
      <w:bookmarkStart w:id="0" w:name="_GoBack"/>
      <w:bookmarkEnd w:id="0"/>
    </w:p>
    <w:p w14:paraId="5FDB30E7" w14:textId="517D1974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 xml:space="preserve">Transition activities/workshops delivered as part of the College Ready Programme to support out most vulnerable learners ensuring successful transition into college.  </w:t>
      </w:r>
    </w:p>
    <w:p w14:paraId="76F0020E" w14:textId="32221DD7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Revision workshops delivered for all learners taking part in the November Examination series</w:t>
      </w:r>
    </w:p>
    <w:p w14:paraId="708BC1C1" w14:textId="61DF9001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Small group academic revision sessions to assist high achieving disadvantaged students to reach their full potential, in addition to supporting other students from economically disadvantaged backgrounds.</w:t>
      </w:r>
    </w:p>
    <w:p w14:paraId="3C94EDE4" w14:textId="58A45A77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Targeted support workshops for Level 3 learners approaching a critical juncture in their studies in terms of E&amp;M outcomes required for Higher Education</w:t>
      </w:r>
    </w:p>
    <w:p w14:paraId="38772982" w14:textId="342F7AD9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E&amp;M workshops delivered throughout the week for learners who are re-sitting M&amp;E</w:t>
      </w:r>
    </w:p>
    <w:p w14:paraId="4E80265C" w14:textId="1C8894BA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‘Curriculum Specific’ Assignment Support Workshops</w:t>
      </w:r>
    </w:p>
    <w:p w14:paraId="254C71DD" w14:textId="3EBE5865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Additional 1-1 out of class support delivered by the Specialist Assessor Team</w:t>
      </w:r>
    </w:p>
    <w:p w14:paraId="00B8E7FB" w14:textId="483676C9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1-1 At Risk Pastoral Support interventions carried out by the Pastoral Support Team Reengaging learners and addressing their pastoral needs/</w:t>
      </w:r>
      <w:r w:rsidR="00910903">
        <w:t>behaviours</w:t>
      </w:r>
      <w:r>
        <w:t xml:space="preserve"> </w:t>
      </w:r>
      <w:r w:rsidR="00B218AC">
        <w:t xml:space="preserve">so they </w:t>
      </w:r>
      <w:r>
        <w:t xml:space="preserve">to achieve their full potential </w:t>
      </w:r>
    </w:p>
    <w:p w14:paraId="61C34B88" w14:textId="69D04008" w:rsidR="00B2476F" w:rsidRDefault="00B2476F" w:rsidP="00B2476F">
      <w:pPr>
        <w:pStyle w:val="BodyText"/>
        <w:numPr>
          <w:ilvl w:val="0"/>
          <w:numId w:val="2"/>
        </w:numPr>
        <w:spacing w:line="276" w:lineRule="auto"/>
        <w:ind w:right="1109"/>
      </w:pPr>
      <w:r>
        <w:t>Targeted out of class 1-1 support for learners who are re-sitting maths and English and whose current attendance is below 80%</w:t>
      </w:r>
    </w:p>
    <w:p w14:paraId="0A670AAC" w14:textId="4A28D727" w:rsidR="00175F45" w:rsidRDefault="00175F45" w:rsidP="00175F45">
      <w:pPr>
        <w:pStyle w:val="ListParagraph"/>
        <w:numPr>
          <w:ilvl w:val="0"/>
          <w:numId w:val="2"/>
        </w:numPr>
        <w:tabs>
          <w:tab w:val="left" w:pos="821"/>
        </w:tabs>
        <w:spacing w:before="23"/>
        <w:rPr>
          <w:sz w:val="24"/>
        </w:rPr>
      </w:pPr>
      <w:r>
        <w:rPr>
          <w:sz w:val="24"/>
        </w:rPr>
        <w:t xml:space="preserve">Deliver workshops to develop skills that learners need in order to be able to be successful development of </w:t>
      </w:r>
      <w:r>
        <w:rPr>
          <w:sz w:val="24"/>
        </w:rPr>
        <w:t>behaviours</w:t>
      </w:r>
      <w:r>
        <w:rPr>
          <w:sz w:val="24"/>
        </w:rPr>
        <w:t xml:space="preserve"> and attitudes in order to complete all elements of their study programme</w:t>
      </w:r>
    </w:p>
    <w:p w14:paraId="75356D1D" w14:textId="463714E1" w:rsidR="00175F45" w:rsidRPr="00175F45" w:rsidRDefault="00175F45" w:rsidP="00175F45">
      <w:pPr>
        <w:pStyle w:val="ListParagraph"/>
        <w:numPr>
          <w:ilvl w:val="0"/>
          <w:numId w:val="2"/>
        </w:numPr>
        <w:tabs>
          <w:tab w:val="left" w:pos="821"/>
        </w:tabs>
        <w:spacing w:before="23"/>
        <w:rPr>
          <w:sz w:val="24"/>
        </w:rPr>
      </w:pPr>
      <w:r>
        <w:rPr>
          <w:sz w:val="24"/>
        </w:rPr>
        <w:t>1-1 and small group work sessions with specialist external providers in order to provide support learners to develop learner’s resilience, improve mental health</w:t>
      </w:r>
      <w:r w:rsidR="00B218AC">
        <w:rPr>
          <w:sz w:val="24"/>
        </w:rPr>
        <w:t xml:space="preserve"> and </w:t>
      </w:r>
      <w:r>
        <w:rPr>
          <w:sz w:val="24"/>
        </w:rPr>
        <w:t>restorative approaches</w:t>
      </w:r>
    </w:p>
    <w:p w14:paraId="19016D67" w14:textId="77777777" w:rsidR="00B2476F" w:rsidRPr="00181573" w:rsidRDefault="00B2476F" w:rsidP="00B2476F">
      <w:pPr>
        <w:pStyle w:val="BodyText"/>
        <w:spacing w:line="276" w:lineRule="auto"/>
        <w:ind w:left="200" w:right="1109"/>
        <w:rPr>
          <w:sz w:val="14"/>
          <w:szCs w:val="14"/>
        </w:rPr>
      </w:pPr>
    </w:p>
    <w:p w14:paraId="72AE99CA" w14:textId="657324AF" w:rsidR="004F038B" w:rsidRDefault="00465BB3" w:rsidP="00B2476F">
      <w:pPr>
        <w:pStyle w:val="BodyText"/>
        <w:spacing w:line="276" w:lineRule="auto"/>
        <w:ind w:left="200" w:right="1109"/>
      </w:pPr>
      <w:r>
        <w:t>Tuition Support offered will be based on an individual’s need assessment, the</w:t>
      </w:r>
      <w:r>
        <w:rPr>
          <w:spacing w:val="1"/>
        </w:rPr>
        <w:t xml:space="preserve"> </w:t>
      </w:r>
      <w:r>
        <w:t>identification of an individual starting point, clear learning goals, expectations and</w:t>
      </w:r>
      <w:r>
        <w:rPr>
          <w:spacing w:val="-58"/>
        </w:rPr>
        <w:t xml:space="preserve"> </w:t>
      </w:r>
      <w:r>
        <w:t>outcomes.</w:t>
      </w:r>
    </w:p>
    <w:p w14:paraId="72AE99CB" w14:textId="5822C5FE" w:rsidR="004F038B" w:rsidRDefault="00181573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2AE99DB" wp14:editId="370A4371">
                <wp:simplePos x="0" y="0"/>
                <wp:positionH relativeFrom="page">
                  <wp:posOffset>862965</wp:posOffset>
                </wp:positionH>
                <wp:positionV relativeFrom="paragraph">
                  <wp:posOffset>191770</wp:posOffset>
                </wp:positionV>
                <wp:extent cx="5798820" cy="231775"/>
                <wp:effectExtent l="0" t="0" r="0" b="0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31775"/>
                          <a:chOff x="1359" y="302"/>
                          <a:chExt cx="9132" cy="365"/>
                        </a:xfrm>
                      </wpg:grpSpPr>
                      <wps:wsp>
                        <wps:cNvPr id="4" name="docshape9"/>
                        <wps:cNvSpPr>
                          <a:spLocks/>
                        </wps:cNvSpPr>
                        <wps:spPr bwMode="auto">
                          <a:xfrm>
                            <a:off x="1358" y="302"/>
                            <a:ext cx="9132" cy="365"/>
                          </a:xfrm>
                          <a:custGeom>
                            <a:avLst/>
                            <a:gdLst>
                              <a:gd name="T0" fmla="+- 0 10490 1359"/>
                              <a:gd name="T1" fmla="*/ T0 w 9132"/>
                              <a:gd name="T2" fmla="+- 0 302 302"/>
                              <a:gd name="T3" fmla="*/ 302 h 365"/>
                              <a:gd name="T4" fmla="+- 0 1373 1359"/>
                              <a:gd name="T5" fmla="*/ T4 w 9132"/>
                              <a:gd name="T6" fmla="+- 0 302 302"/>
                              <a:gd name="T7" fmla="*/ 302 h 365"/>
                              <a:gd name="T8" fmla="+- 0 1359 1359"/>
                              <a:gd name="T9" fmla="*/ T8 w 9132"/>
                              <a:gd name="T10" fmla="+- 0 302 302"/>
                              <a:gd name="T11" fmla="*/ 302 h 365"/>
                              <a:gd name="T12" fmla="+- 0 1359 1359"/>
                              <a:gd name="T13" fmla="*/ T12 w 9132"/>
                              <a:gd name="T14" fmla="+- 0 317 302"/>
                              <a:gd name="T15" fmla="*/ 317 h 365"/>
                              <a:gd name="T16" fmla="+- 0 1359 1359"/>
                              <a:gd name="T17" fmla="*/ T16 w 9132"/>
                              <a:gd name="T18" fmla="+- 0 667 302"/>
                              <a:gd name="T19" fmla="*/ 667 h 365"/>
                              <a:gd name="T20" fmla="+- 0 1373 1359"/>
                              <a:gd name="T21" fmla="*/ T20 w 9132"/>
                              <a:gd name="T22" fmla="+- 0 667 302"/>
                              <a:gd name="T23" fmla="*/ 667 h 365"/>
                              <a:gd name="T24" fmla="+- 0 1373 1359"/>
                              <a:gd name="T25" fmla="*/ T24 w 9132"/>
                              <a:gd name="T26" fmla="+- 0 317 302"/>
                              <a:gd name="T27" fmla="*/ 317 h 365"/>
                              <a:gd name="T28" fmla="+- 0 10490 1359"/>
                              <a:gd name="T29" fmla="*/ T28 w 9132"/>
                              <a:gd name="T30" fmla="+- 0 317 302"/>
                              <a:gd name="T31" fmla="*/ 317 h 365"/>
                              <a:gd name="T32" fmla="+- 0 10490 1359"/>
                              <a:gd name="T33" fmla="*/ T32 w 9132"/>
                              <a:gd name="T34" fmla="+- 0 302 302"/>
                              <a:gd name="T35" fmla="*/ 30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2" h="365">
                                <a:moveTo>
                                  <a:pt x="913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5"/>
                                </a:lnTo>
                                <a:lnTo>
                                  <a:pt x="14" y="365"/>
                                </a:lnTo>
                                <a:lnTo>
                                  <a:pt x="14" y="15"/>
                                </a:lnTo>
                                <a:lnTo>
                                  <a:pt x="9131" y="15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02"/>
                            <a:ext cx="913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99E0" w14:textId="77777777" w:rsidR="004F038B" w:rsidRDefault="00465BB3">
                              <w:pPr>
                                <w:spacing w:before="52"/>
                                <w:ind w:left="81"/>
                              </w:pPr>
                              <w:r>
                                <w:rPr>
                                  <w:color w:val="1F3762"/>
                                </w:rPr>
                                <w:t>OUR</w:t>
                              </w:r>
                              <w:r>
                                <w:rPr>
                                  <w:color w:val="1F3762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1F3762"/>
                                  <w:spacing w:val="12"/>
                                </w:rPr>
                                <w:t>COMMITMENT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99DB" id="docshapegroup8" o:spid="_x0000_s1032" style="position:absolute;margin-left:67.95pt;margin-top:15.1pt;width:456.6pt;height:18.25pt;z-index:-15727616;mso-wrap-distance-left:0;mso-wrap-distance-right:0;mso-position-horizontal-relative:page" coordorigin="1359,302" coordsize="913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">
                <v:shape id="docshape9" o:spid="_x0000_s1033" style="position:absolute;left:1358;top:302;width:9132;height:365;visibility:visible;mso-wrap-style:square;v-text-anchor:top" coordsize="91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" path="m9131,l14,,,,,15,,365r14,l14,15r9117,l9131,xe" fillcolor="#4471c4" stroked="f">
                  <v:path arrowok="t" o:connecttype="custom" o:connectlocs="9131,302;14,302;0,302;0,317;0,667;14,667;14,317;9131,317;9131,302" o:connectangles="0,0,0,0,0,0,0,0,0"/>
                </v:shape>
                <v:shape id="docshape10" o:spid="_x0000_s1034" type="#_x0000_t202" style="position:absolute;left:1358;top:302;width:91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2AE99E0" w14:textId="77777777" w:rsidR="004F038B" w:rsidRDefault="00465BB3">
                        <w:pPr>
                          <w:spacing w:before="52"/>
                          <w:ind w:left="81"/>
                        </w:pPr>
                        <w:r>
                          <w:rPr>
                            <w:color w:val="1F3762"/>
                          </w:rPr>
                          <w:t>OUR</w:t>
                        </w:r>
                        <w:r>
                          <w:rPr>
                            <w:color w:val="1F3762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1F3762"/>
                            <w:spacing w:val="12"/>
                          </w:rPr>
                          <w:t>COMMITMENT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AE99CC" w14:textId="43130295" w:rsidR="004F038B" w:rsidRPr="00181573" w:rsidRDefault="004F038B">
      <w:pPr>
        <w:pStyle w:val="BodyText"/>
        <w:spacing w:before="7"/>
        <w:rPr>
          <w:sz w:val="12"/>
          <w:szCs w:val="20"/>
        </w:rPr>
      </w:pPr>
    </w:p>
    <w:p w14:paraId="72AE99CD" w14:textId="77777777" w:rsidR="004F038B" w:rsidRDefault="00465BB3">
      <w:pPr>
        <w:pStyle w:val="BodyText"/>
        <w:spacing w:before="101"/>
        <w:ind w:left="200"/>
      </w:pP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 to</w:t>
      </w:r>
      <w:r>
        <w:rPr>
          <w:spacing w:val="-4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the tuition fund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 the</w:t>
      </w:r>
    </w:p>
    <w:p w14:paraId="72AE99CE" w14:textId="77777777" w:rsidR="004F038B" w:rsidRDefault="00465BB3">
      <w:pPr>
        <w:pStyle w:val="BodyText"/>
        <w:spacing w:before="38"/>
        <w:ind w:left="200"/>
      </w:pPr>
      <w:r>
        <w:t>Government’s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by:</w:t>
      </w:r>
    </w:p>
    <w:p w14:paraId="72AE99CF" w14:textId="77777777" w:rsidR="004F038B" w:rsidRPr="00181573" w:rsidRDefault="004F038B">
      <w:pPr>
        <w:pStyle w:val="BodyText"/>
        <w:spacing w:before="2"/>
        <w:rPr>
          <w:sz w:val="14"/>
          <w:szCs w:val="10"/>
        </w:rPr>
      </w:pPr>
    </w:p>
    <w:p w14:paraId="72AE99D0" w14:textId="77777777" w:rsidR="004F038B" w:rsidRDefault="00465BB3" w:rsidP="0018157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80" w:lineRule="auto"/>
        <w:ind w:right="998"/>
        <w:rPr>
          <w:rFonts w:ascii="Symbol" w:hAnsi="Symbol"/>
          <w:sz w:val="20"/>
        </w:rPr>
      </w:pPr>
      <w:r>
        <w:t>producing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most disadvantaged</w:t>
      </w:r>
      <w:r>
        <w:rPr>
          <w:spacing w:val="-1"/>
        </w:rPr>
        <w:t xml:space="preserve"> </w:t>
      </w:r>
      <w:r>
        <w:t>students</w:t>
      </w:r>
    </w:p>
    <w:p w14:paraId="72AE99D1" w14:textId="77777777" w:rsidR="004F038B" w:rsidRDefault="00465BB3" w:rsidP="0018157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rFonts w:ascii="Symbol" w:hAnsi="Symbol"/>
          <w:sz w:val="20"/>
        </w:rPr>
      </w:pPr>
      <w:r>
        <w:t>publishing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website</w:t>
      </w:r>
    </w:p>
    <w:p w14:paraId="72AE99D2" w14:textId="77777777" w:rsidR="004F038B" w:rsidRPr="00181573" w:rsidRDefault="004F038B">
      <w:pPr>
        <w:pStyle w:val="BodyText"/>
        <w:spacing w:before="6"/>
        <w:rPr>
          <w:sz w:val="18"/>
          <w:szCs w:val="20"/>
        </w:rPr>
      </w:pPr>
    </w:p>
    <w:p w14:paraId="72AE99D3" w14:textId="77777777" w:rsidR="004F038B" w:rsidRDefault="00465BB3" w:rsidP="0018157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6" w:lineRule="auto"/>
        <w:ind w:right="948"/>
        <w:rPr>
          <w:rFonts w:ascii="Symbol" w:hAnsi="Symbol"/>
          <w:sz w:val="20"/>
        </w:rPr>
      </w:pPr>
      <w:r>
        <w:t>recording the use of the fund, including references to individual students who</w:t>
      </w:r>
      <w:r>
        <w:rPr>
          <w:spacing w:val="-58"/>
        </w:rPr>
        <w:t xml:space="preserve"> </w:t>
      </w:r>
      <w:r>
        <w:t>receive support, the needs of those students, the number of hours of tuition</w:t>
      </w:r>
      <w:r>
        <w:rPr>
          <w:spacing w:val="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 provided</w:t>
      </w:r>
    </w:p>
    <w:p w14:paraId="72AE99D4" w14:textId="2BE3B887" w:rsidR="004F038B" w:rsidRDefault="00465BB3" w:rsidP="0018157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8" w:lineRule="auto"/>
        <w:ind w:right="991"/>
        <w:rPr>
          <w:rFonts w:ascii="Symbol" w:hAnsi="Symbol"/>
          <w:sz w:val="20"/>
        </w:rPr>
      </w:pPr>
      <w:r>
        <w:t>deliver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 year</w:t>
      </w:r>
      <w:r>
        <w:rPr>
          <w:spacing w:val="-58"/>
        </w:rPr>
        <w:t xml:space="preserve"> </w:t>
      </w:r>
      <w:r>
        <w:t>202</w:t>
      </w:r>
      <w:r w:rsidR="0002579D">
        <w:t>1/2022</w:t>
      </w:r>
    </w:p>
    <w:p w14:paraId="72AE99D5" w14:textId="77777777" w:rsidR="004F038B" w:rsidRDefault="00465BB3" w:rsidP="0018157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8" w:lineRule="auto"/>
        <w:ind w:right="934"/>
        <w:rPr>
          <w:rFonts w:ascii="Symbol" w:hAnsi="Symbol"/>
          <w:sz w:val="20"/>
        </w:rPr>
      </w:pPr>
      <w:r>
        <w:t>notify the Education Skills Funding Agency (ESFA) of any underspend from the</w:t>
      </w:r>
      <w:r>
        <w:rPr>
          <w:spacing w:val="-58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reclaimed.</w:t>
      </w:r>
    </w:p>
    <w:sectPr w:rsidR="004F038B">
      <w:pgSz w:w="11900" w:h="16850"/>
      <w:pgMar w:top="1360" w:right="560" w:bottom="1140" w:left="12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FF21" w14:textId="77777777" w:rsidR="00C97F70" w:rsidRDefault="00C97F70">
      <w:r>
        <w:separator/>
      </w:r>
    </w:p>
  </w:endnote>
  <w:endnote w:type="continuationSeparator" w:id="0">
    <w:p w14:paraId="669E1032" w14:textId="77777777" w:rsidR="00C97F70" w:rsidRDefault="00C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99DC" w14:textId="6D1D7AE8" w:rsidR="004F038B" w:rsidRDefault="000959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E99DD" wp14:editId="4D5265F0">
              <wp:simplePos x="0" y="0"/>
              <wp:positionH relativeFrom="page">
                <wp:posOffset>6541135</wp:posOffset>
              </wp:positionH>
              <wp:positionV relativeFrom="page">
                <wp:posOffset>9949180</wp:posOffset>
              </wp:positionV>
              <wp:extent cx="1530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E99E1" w14:textId="77777777" w:rsidR="004F038B" w:rsidRDefault="00465BB3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E99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515.05pt;margin-top:783.4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" filled="f" stroked="f">
              <v:textbox inset="0,0,0,0">
                <w:txbxContent>
                  <w:p w14:paraId="72AE99E1" w14:textId="77777777" w:rsidR="004F038B" w:rsidRDefault="00465BB3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C931" w14:textId="77777777" w:rsidR="00C97F70" w:rsidRDefault="00C97F70">
      <w:r>
        <w:separator/>
      </w:r>
    </w:p>
  </w:footnote>
  <w:footnote w:type="continuationSeparator" w:id="0">
    <w:p w14:paraId="06C22039" w14:textId="77777777" w:rsidR="00C97F70" w:rsidRDefault="00C9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0E1"/>
    <w:multiLevelType w:val="hybridMultilevel"/>
    <w:tmpl w:val="DC88F9F4"/>
    <w:lvl w:ilvl="0" w:tplc="A8D81A4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60818DA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8C2B656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0863476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12CC851A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A144470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3330160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803E31A2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7D64C4A0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" w15:restartNumberingAfterBreak="0">
    <w:nsid w:val="2F4A6982"/>
    <w:multiLevelType w:val="hybridMultilevel"/>
    <w:tmpl w:val="C15C9DDA"/>
    <w:lvl w:ilvl="0" w:tplc="44500A9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949225EA">
      <w:numFmt w:val="bullet"/>
      <w:lvlText w:val="•"/>
      <w:lvlJc w:val="left"/>
      <w:pPr>
        <w:ind w:left="1837" w:hanging="360"/>
      </w:pPr>
      <w:rPr>
        <w:rFonts w:hint="default"/>
        <w:lang w:val="en-GB" w:eastAsia="en-US" w:bidi="ar-SA"/>
      </w:rPr>
    </w:lvl>
    <w:lvl w:ilvl="2" w:tplc="ED06A250">
      <w:numFmt w:val="bullet"/>
      <w:lvlText w:val="•"/>
      <w:lvlJc w:val="left"/>
      <w:pPr>
        <w:ind w:left="2755" w:hanging="360"/>
      </w:pPr>
      <w:rPr>
        <w:rFonts w:hint="default"/>
        <w:lang w:val="en-GB" w:eastAsia="en-US" w:bidi="ar-SA"/>
      </w:rPr>
    </w:lvl>
    <w:lvl w:ilvl="3" w:tplc="62FE289E">
      <w:numFmt w:val="bullet"/>
      <w:lvlText w:val="•"/>
      <w:lvlJc w:val="left"/>
      <w:pPr>
        <w:ind w:left="3673" w:hanging="360"/>
      </w:pPr>
      <w:rPr>
        <w:rFonts w:hint="default"/>
        <w:lang w:val="en-GB" w:eastAsia="en-US" w:bidi="ar-SA"/>
      </w:rPr>
    </w:lvl>
    <w:lvl w:ilvl="4" w:tplc="B49E9926">
      <w:numFmt w:val="bullet"/>
      <w:lvlText w:val="•"/>
      <w:lvlJc w:val="left"/>
      <w:pPr>
        <w:ind w:left="4591" w:hanging="360"/>
      </w:pPr>
      <w:rPr>
        <w:rFonts w:hint="default"/>
        <w:lang w:val="en-GB" w:eastAsia="en-US" w:bidi="ar-SA"/>
      </w:rPr>
    </w:lvl>
    <w:lvl w:ilvl="5" w:tplc="B186F214">
      <w:numFmt w:val="bullet"/>
      <w:lvlText w:val="•"/>
      <w:lvlJc w:val="left"/>
      <w:pPr>
        <w:ind w:left="5509" w:hanging="360"/>
      </w:pPr>
      <w:rPr>
        <w:rFonts w:hint="default"/>
        <w:lang w:val="en-GB" w:eastAsia="en-US" w:bidi="ar-SA"/>
      </w:rPr>
    </w:lvl>
    <w:lvl w:ilvl="6" w:tplc="7F7E9C6C">
      <w:numFmt w:val="bullet"/>
      <w:lvlText w:val="•"/>
      <w:lvlJc w:val="left"/>
      <w:pPr>
        <w:ind w:left="6427" w:hanging="360"/>
      </w:pPr>
      <w:rPr>
        <w:rFonts w:hint="default"/>
        <w:lang w:val="en-GB" w:eastAsia="en-US" w:bidi="ar-SA"/>
      </w:rPr>
    </w:lvl>
    <w:lvl w:ilvl="7" w:tplc="4C96997E">
      <w:numFmt w:val="bullet"/>
      <w:lvlText w:val="•"/>
      <w:lvlJc w:val="left"/>
      <w:pPr>
        <w:ind w:left="7345" w:hanging="360"/>
      </w:pPr>
      <w:rPr>
        <w:rFonts w:hint="default"/>
        <w:lang w:val="en-GB" w:eastAsia="en-US" w:bidi="ar-SA"/>
      </w:rPr>
    </w:lvl>
    <w:lvl w:ilvl="8" w:tplc="FE267F6C">
      <w:numFmt w:val="bullet"/>
      <w:lvlText w:val="•"/>
      <w:lvlJc w:val="left"/>
      <w:pPr>
        <w:ind w:left="82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74570DB"/>
    <w:multiLevelType w:val="hybridMultilevel"/>
    <w:tmpl w:val="6FC443FA"/>
    <w:lvl w:ilvl="0" w:tplc="3FDC4DBA">
      <w:start w:val="1"/>
      <w:numFmt w:val="decimal"/>
      <w:lvlText w:val="%1."/>
      <w:lvlJc w:val="left"/>
      <w:pPr>
        <w:ind w:left="7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66CD2649"/>
    <w:multiLevelType w:val="hybridMultilevel"/>
    <w:tmpl w:val="FD7410BE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8B"/>
    <w:rsid w:val="0002579D"/>
    <w:rsid w:val="00037658"/>
    <w:rsid w:val="000959BB"/>
    <w:rsid w:val="00161249"/>
    <w:rsid w:val="00175F45"/>
    <w:rsid w:val="00181573"/>
    <w:rsid w:val="001B6F3F"/>
    <w:rsid w:val="003262C0"/>
    <w:rsid w:val="003E552F"/>
    <w:rsid w:val="00465BB3"/>
    <w:rsid w:val="004F038B"/>
    <w:rsid w:val="005B1542"/>
    <w:rsid w:val="005E5AD3"/>
    <w:rsid w:val="00620AA3"/>
    <w:rsid w:val="008A34D6"/>
    <w:rsid w:val="00910903"/>
    <w:rsid w:val="00B160B2"/>
    <w:rsid w:val="00B218AC"/>
    <w:rsid w:val="00B2476F"/>
    <w:rsid w:val="00C97F70"/>
    <w:rsid w:val="00E63FD2"/>
    <w:rsid w:val="00F851D8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99B0"/>
  <w15:docId w15:val="{F9A7CD7E-7E5D-44CF-8E37-7C79F2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0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D5520E262546A39E9176E05B3289" ma:contentTypeVersion="14" ma:contentTypeDescription="Create a new document." ma:contentTypeScope="" ma:versionID="e9340d91adeb5e3c2292898714d9dce1">
  <xsd:schema xmlns:xsd="http://www.w3.org/2001/XMLSchema" xmlns:xs="http://www.w3.org/2001/XMLSchema" xmlns:p="http://schemas.microsoft.com/office/2006/metadata/properties" xmlns:ns3="87abc7a0-f2c4-475c-85fb-3add9f9bd8e8" xmlns:ns4="dad37bed-d58e-47dc-992d-d8a8fc421c11" targetNamespace="http://schemas.microsoft.com/office/2006/metadata/properties" ma:root="true" ma:fieldsID="217d4245d45d6ab330141f366439d8ce" ns3:_="" ns4:_="">
    <xsd:import namespace="87abc7a0-f2c4-475c-85fb-3add9f9bd8e8"/>
    <xsd:import namespace="dad37bed-d58e-47dc-992d-d8a8fc421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c7a0-f2c4-475c-85fb-3add9f9bd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7bed-d58e-47dc-992d-d8a8fc421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60158-6C23-4F0C-906C-A58B918C3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50C65-BD3C-4E76-B070-DFC544FFE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bc7a0-f2c4-475c-85fb-3add9f9bd8e8"/>
    <ds:schemaRef ds:uri="dad37bed-d58e-47dc-992d-d8a8fc42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F0D06-F5FF-4DD0-9895-4E469E596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bintley</dc:creator>
  <cp:lastModifiedBy>Emma Goodlet</cp:lastModifiedBy>
  <cp:revision>11</cp:revision>
  <dcterms:created xsi:type="dcterms:W3CDTF">2021-09-23T13:38:00Z</dcterms:created>
  <dcterms:modified xsi:type="dcterms:W3CDTF">2021-09-27T12:08:00Z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2021-09-17T00:00:00Z</vt:filetime>
  </property>
  <property fmtid="{D5CDD505-2E9C-101B-9397-08002B2CF9AE}" pid="5" name="ContentTypeId">
    <vt:lpwstr>0x0101000864D5520E262546A39E9176E05B3289</vt:lpwstr>
  </property>
</Properties>
</file>