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E28A" w14:textId="290BB590" w:rsidR="00A07451" w:rsidRPr="00AD7333" w:rsidRDefault="00B3689C" w:rsidP="00AD7333">
      <w:pPr>
        <w:jc w:val="center"/>
        <w:outlineLvl w:val="0"/>
        <w:rPr>
          <w:rFonts w:asciiTheme="minorHAnsi" w:hAnsiTheme="minorHAnsi" w:cstheme="minorHAnsi"/>
          <w:sz w:val="22"/>
          <w:szCs w:val="22"/>
        </w:rPr>
      </w:pPr>
      <w:r w:rsidRPr="00AD7333">
        <w:rPr>
          <w:rFonts w:asciiTheme="minorHAnsi" w:hAnsiTheme="minorHAnsi" w:cstheme="minorHAnsi"/>
          <w:sz w:val="22"/>
          <w:szCs w:val="22"/>
        </w:rPr>
        <w:t xml:space="preserve">THE </w:t>
      </w:r>
      <w:r w:rsidR="00A07451" w:rsidRPr="00AD7333">
        <w:rPr>
          <w:rFonts w:asciiTheme="minorHAnsi" w:hAnsiTheme="minorHAnsi" w:cstheme="minorHAnsi"/>
          <w:sz w:val="22"/>
          <w:szCs w:val="22"/>
        </w:rPr>
        <w:t>TRAFFORD COLLEGE</w:t>
      </w:r>
      <w:r w:rsidRPr="00AD7333">
        <w:rPr>
          <w:rFonts w:asciiTheme="minorHAnsi" w:hAnsiTheme="minorHAnsi" w:cstheme="minorHAnsi"/>
          <w:sz w:val="22"/>
          <w:szCs w:val="22"/>
        </w:rPr>
        <w:t xml:space="preserve"> GROUP</w:t>
      </w:r>
    </w:p>
    <w:p w14:paraId="2B85C6D7" w14:textId="77777777" w:rsidR="00A07451" w:rsidRPr="00AD7333" w:rsidRDefault="00A07451" w:rsidP="00AD7333">
      <w:pPr>
        <w:jc w:val="center"/>
        <w:outlineLvl w:val="0"/>
        <w:rPr>
          <w:rFonts w:asciiTheme="minorHAnsi" w:hAnsiTheme="minorHAnsi" w:cstheme="minorHAnsi"/>
          <w:b/>
          <w:sz w:val="22"/>
          <w:szCs w:val="22"/>
        </w:rPr>
      </w:pPr>
    </w:p>
    <w:p w14:paraId="4629DF93" w14:textId="2AA783D9" w:rsidR="008E2D97" w:rsidRPr="00AD7333" w:rsidRDefault="006676C3" w:rsidP="00AD7333">
      <w:pPr>
        <w:jc w:val="center"/>
        <w:rPr>
          <w:rFonts w:asciiTheme="minorHAnsi" w:hAnsiTheme="minorHAnsi" w:cstheme="minorHAnsi"/>
          <w:b/>
          <w:sz w:val="22"/>
          <w:szCs w:val="22"/>
        </w:rPr>
      </w:pPr>
      <w:r w:rsidRPr="00AD7333">
        <w:rPr>
          <w:rFonts w:asciiTheme="minorHAnsi" w:hAnsiTheme="minorHAnsi" w:cstheme="minorHAnsi"/>
          <w:b/>
          <w:sz w:val="22"/>
          <w:szCs w:val="22"/>
        </w:rPr>
        <w:t>Minutes</w:t>
      </w:r>
      <w:r w:rsidR="008E2D97" w:rsidRPr="00AD7333">
        <w:rPr>
          <w:rFonts w:asciiTheme="minorHAnsi" w:hAnsiTheme="minorHAnsi" w:cstheme="minorHAnsi"/>
          <w:b/>
          <w:sz w:val="22"/>
          <w:szCs w:val="22"/>
        </w:rPr>
        <w:t xml:space="preserve"> of </w:t>
      </w:r>
      <w:r w:rsidR="001E09AC" w:rsidRPr="00AD7333">
        <w:rPr>
          <w:rFonts w:asciiTheme="minorHAnsi" w:hAnsiTheme="minorHAnsi" w:cstheme="minorHAnsi"/>
          <w:b/>
          <w:sz w:val="22"/>
          <w:szCs w:val="22"/>
        </w:rPr>
        <w:t xml:space="preserve">the </w:t>
      </w:r>
      <w:r w:rsidR="008E2D97" w:rsidRPr="00AD7333">
        <w:rPr>
          <w:rFonts w:asciiTheme="minorHAnsi" w:hAnsiTheme="minorHAnsi" w:cstheme="minorHAnsi"/>
          <w:b/>
          <w:sz w:val="22"/>
          <w:szCs w:val="22"/>
        </w:rPr>
        <w:t>Meeting of the Resources Committee</w:t>
      </w:r>
    </w:p>
    <w:p w14:paraId="0A3BFFA0" w14:textId="6AE38D35" w:rsidR="002F3D04" w:rsidRPr="00AD7333" w:rsidRDefault="008E2D97" w:rsidP="00AD7333">
      <w:pPr>
        <w:jc w:val="center"/>
        <w:rPr>
          <w:rFonts w:asciiTheme="minorHAnsi" w:hAnsiTheme="minorHAnsi" w:cstheme="minorHAnsi"/>
          <w:b/>
          <w:sz w:val="22"/>
          <w:szCs w:val="22"/>
        </w:rPr>
      </w:pPr>
      <w:r w:rsidRPr="00AD7333">
        <w:rPr>
          <w:rFonts w:asciiTheme="minorHAnsi" w:hAnsiTheme="minorHAnsi" w:cstheme="minorHAnsi"/>
          <w:b/>
          <w:sz w:val="22"/>
          <w:szCs w:val="22"/>
        </w:rPr>
        <w:t xml:space="preserve">held on </w:t>
      </w:r>
      <w:r w:rsidR="00F054A9" w:rsidRPr="00AD7333">
        <w:rPr>
          <w:rFonts w:asciiTheme="minorHAnsi" w:hAnsiTheme="minorHAnsi" w:cstheme="minorHAnsi"/>
          <w:b/>
          <w:sz w:val="22"/>
          <w:szCs w:val="22"/>
        </w:rPr>
        <w:t>Wednesday</w:t>
      </w:r>
      <w:r w:rsidR="00C50B67" w:rsidRPr="00AD7333">
        <w:rPr>
          <w:rFonts w:asciiTheme="minorHAnsi" w:hAnsiTheme="minorHAnsi" w:cstheme="minorHAnsi"/>
          <w:b/>
          <w:sz w:val="22"/>
          <w:szCs w:val="22"/>
        </w:rPr>
        <w:t xml:space="preserve"> </w:t>
      </w:r>
      <w:r w:rsidR="00861D93" w:rsidRPr="00AD7333">
        <w:rPr>
          <w:rFonts w:asciiTheme="minorHAnsi" w:hAnsiTheme="minorHAnsi" w:cstheme="minorHAnsi"/>
          <w:b/>
          <w:sz w:val="22"/>
          <w:szCs w:val="22"/>
        </w:rPr>
        <w:t xml:space="preserve">3 March </w:t>
      </w:r>
      <w:r w:rsidR="00D27A64" w:rsidRPr="00AD7333">
        <w:rPr>
          <w:rFonts w:asciiTheme="minorHAnsi" w:hAnsiTheme="minorHAnsi" w:cstheme="minorHAnsi"/>
          <w:b/>
          <w:sz w:val="22"/>
          <w:szCs w:val="22"/>
        </w:rPr>
        <w:t>202</w:t>
      </w:r>
      <w:r w:rsidR="00861D93" w:rsidRPr="00AD7333">
        <w:rPr>
          <w:rFonts w:asciiTheme="minorHAnsi" w:hAnsiTheme="minorHAnsi" w:cstheme="minorHAnsi"/>
          <w:b/>
          <w:sz w:val="22"/>
          <w:szCs w:val="22"/>
        </w:rPr>
        <w:t>2</w:t>
      </w:r>
      <w:r w:rsidR="00AD7333">
        <w:rPr>
          <w:rFonts w:asciiTheme="minorHAnsi" w:hAnsiTheme="minorHAnsi" w:cstheme="minorHAnsi"/>
          <w:b/>
          <w:sz w:val="22"/>
          <w:szCs w:val="22"/>
        </w:rPr>
        <w:t xml:space="preserve"> </w:t>
      </w:r>
      <w:r w:rsidR="00AD7333" w:rsidRPr="00AD7333">
        <w:rPr>
          <w:rFonts w:asciiTheme="minorHAnsi" w:hAnsiTheme="minorHAnsi" w:cstheme="minorHAnsi"/>
          <w:b/>
          <w:sz w:val="22"/>
          <w:szCs w:val="22"/>
        </w:rPr>
        <w:t>at 5.30 pm</w:t>
      </w:r>
      <w:r w:rsidR="00AD7333">
        <w:rPr>
          <w:rFonts w:asciiTheme="minorHAnsi" w:hAnsiTheme="minorHAnsi" w:cstheme="minorHAnsi"/>
          <w:b/>
          <w:sz w:val="22"/>
          <w:szCs w:val="22"/>
        </w:rPr>
        <w:t xml:space="preserve"> via MS Teams</w:t>
      </w:r>
    </w:p>
    <w:p w14:paraId="2D3FDE1E" w14:textId="77777777" w:rsidR="00DE43EA" w:rsidRPr="00AD7333" w:rsidRDefault="00DE43EA" w:rsidP="00AD7333">
      <w:pPr>
        <w:jc w:val="both"/>
        <w:rPr>
          <w:rFonts w:asciiTheme="minorHAnsi" w:hAnsiTheme="minorHAnsi" w:cstheme="minorHAnsi"/>
          <w:b/>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2431"/>
        <w:gridCol w:w="5386"/>
      </w:tblGrid>
      <w:tr w:rsidR="000A3ACB" w:rsidRPr="00AD7333" w14:paraId="70CC994A" w14:textId="77777777" w:rsidTr="00AD7333">
        <w:tc>
          <w:tcPr>
            <w:tcW w:w="945" w:type="pct"/>
          </w:tcPr>
          <w:p w14:paraId="40A2F3BB" w14:textId="17F07446" w:rsidR="000A3ACB" w:rsidRPr="00AD7333" w:rsidRDefault="00C50B67" w:rsidP="00AD7333">
            <w:pPr>
              <w:jc w:val="both"/>
              <w:rPr>
                <w:rFonts w:cstheme="minorHAnsi"/>
                <w:b/>
                <w:sz w:val="22"/>
                <w:szCs w:val="22"/>
              </w:rPr>
            </w:pPr>
            <w:r w:rsidRPr="00AD7333">
              <w:rPr>
                <w:rFonts w:cstheme="minorHAnsi"/>
                <w:b/>
                <w:sz w:val="22"/>
                <w:szCs w:val="22"/>
              </w:rPr>
              <w:t xml:space="preserve"> </w:t>
            </w:r>
            <w:r w:rsidR="000A3ACB" w:rsidRPr="00AD7333">
              <w:rPr>
                <w:rFonts w:cstheme="minorHAnsi"/>
                <w:b/>
                <w:sz w:val="22"/>
                <w:szCs w:val="22"/>
              </w:rPr>
              <w:t>Present:</w:t>
            </w:r>
          </w:p>
        </w:tc>
        <w:tc>
          <w:tcPr>
            <w:tcW w:w="1261" w:type="pct"/>
          </w:tcPr>
          <w:p w14:paraId="2BD8BE26" w14:textId="77777777" w:rsidR="00AC4646" w:rsidRPr="00AD7333" w:rsidRDefault="00DE43EA" w:rsidP="00AD7333">
            <w:pPr>
              <w:jc w:val="both"/>
              <w:rPr>
                <w:rFonts w:cstheme="minorHAnsi"/>
                <w:sz w:val="22"/>
                <w:szCs w:val="22"/>
                <w:lang w:val="en-US"/>
              </w:rPr>
            </w:pPr>
            <w:r w:rsidRPr="00AD7333">
              <w:rPr>
                <w:rFonts w:cstheme="minorHAnsi"/>
                <w:sz w:val="22"/>
                <w:szCs w:val="22"/>
                <w:lang w:val="en-US"/>
              </w:rPr>
              <w:t>Janet Grant</w:t>
            </w:r>
          </w:p>
          <w:p w14:paraId="0D7A4771" w14:textId="350377DF" w:rsidR="00DE43EA" w:rsidRPr="00AD7333" w:rsidRDefault="00DE43EA" w:rsidP="00AD7333">
            <w:pPr>
              <w:jc w:val="both"/>
              <w:rPr>
                <w:rFonts w:cstheme="minorHAnsi"/>
                <w:sz w:val="22"/>
                <w:szCs w:val="22"/>
                <w:lang w:val="en-US"/>
              </w:rPr>
            </w:pPr>
            <w:r w:rsidRPr="00AD7333">
              <w:rPr>
                <w:rFonts w:cstheme="minorHAnsi"/>
                <w:sz w:val="22"/>
                <w:szCs w:val="22"/>
                <w:lang w:val="en-US"/>
              </w:rPr>
              <w:t>James Scott</w:t>
            </w:r>
          </w:p>
          <w:p w14:paraId="08C4318D" w14:textId="3157597A" w:rsidR="00DE43EA" w:rsidRPr="00AD7333" w:rsidRDefault="00DE43EA" w:rsidP="00AD7333">
            <w:pPr>
              <w:jc w:val="both"/>
              <w:rPr>
                <w:rFonts w:cstheme="minorHAnsi"/>
                <w:sz w:val="22"/>
                <w:szCs w:val="22"/>
                <w:lang w:val="en-US"/>
              </w:rPr>
            </w:pPr>
            <w:r w:rsidRPr="00AD7333">
              <w:rPr>
                <w:rFonts w:cstheme="minorHAnsi"/>
                <w:sz w:val="22"/>
                <w:szCs w:val="22"/>
                <w:lang w:val="en-US"/>
              </w:rPr>
              <w:t>Louise Richardson</w:t>
            </w:r>
            <w:r w:rsidR="00861D93" w:rsidRPr="00AD7333">
              <w:rPr>
                <w:rFonts w:cstheme="minorHAnsi"/>
                <w:sz w:val="22"/>
                <w:szCs w:val="22"/>
                <w:lang w:val="en-US"/>
              </w:rPr>
              <w:t xml:space="preserve"> </w:t>
            </w:r>
          </w:p>
          <w:p w14:paraId="38AAA5F4" w14:textId="77777777" w:rsidR="00AC4646" w:rsidRPr="00AD7333" w:rsidRDefault="008806E1" w:rsidP="00AD7333">
            <w:pPr>
              <w:jc w:val="both"/>
              <w:rPr>
                <w:rFonts w:cstheme="minorHAnsi"/>
                <w:sz w:val="22"/>
                <w:szCs w:val="22"/>
                <w:lang w:val="en-US"/>
              </w:rPr>
            </w:pPr>
            <w:r w:rsidRPr="00AD7333">
              <w:rPr>
                <w:rFonts w:cstheme="minorHAnsi"/>
                <w:sz w:val="22"/>
                <w:szCs w:val="22"/>
                <w:lang w:val="en-US"/>
              </w:rPr>
              <w:t>Ayodele Oyebode</w:t>
            </w:r>
          </w:p>
          <w:p w14:paraId="160B246B" w14:textId="05AD6586" w:rsidR="00375CBB" w:rsidRPr="00AD7333" w:rsidRDefault="00375CBB" w:rsidP="00AD7333">
            <w:pPr>
              <w:jc w:val="both"/>
              <w:rPr>
                <w:rFonts w:cstheme="minorHAnsi"/>
                <w:sz w:val="22"/>
                <w:szCs w:val="22"/>
                <w:lang w:val="en-US"/>
              </w:rPr>
            </w:pPr>
            <w:r w:rsidRPr="00AD7333">
              <w:rPr>
                <w:rFonts w:cstheme="minorHAnsi"/>
                <w:sz w:val="22"/>
                <w:szCs w:val="22"/>
                <w:lang w:val="en-US"/>
              </w:rPr>
              <w:t>Jeremy Woodside</w:t>
            </w:r>
          </w:p>
          <w:p w14:paraId="708409B7" w14:textId="77777777" w:rsidR="000A3ACB" w:rsidRPr="00AD7333" w:rsidRDefault="000A3ACB" w:rsidP="00AD7333">
            <w:pPr>
              <w:jc w:val="both"/>
              <w:rPr>
                <w:rFonts w:cstheme="minorHAnsi"/>
                <w:sz w:val="22"/>
                <w:szCs w:val="22"/>
                <w:lang w:val="en-US"/>
              </w:rPr>
            </w:pPr>
          </w:p>
        </w:tc>
        <w:tc>
          <w:tcPr>
            <w:tcW w:w="2794" w:type="pct"/>
          </w:tcPr>
          <w:p w14:paraId="147598F6" w14:textId="77777777" w:rsidR="000A3ACB" w:rsidRPr="00AD7333" w:rsidRDefault="0058391C" w:rsidP="00AD7333">
            <w:pPr>
              <w:jc w:val="both"/>
              <w:rPr>
                <w:rFonts w:cstheme="minorHAnsi"/>
                <w:sz w:val="22"/>
                <w:szCs w:val="22"/>
                <w:lang w:val="en-US"/>
              </w:rPr>
            </w:pPr>
            <w:r w:rsidRPr="00AD7333">
              <w:rPr>
                <w:rFonts w:cstheme="minorHAnsi"/>
                <w:sz w:val="22"/>
                <w:szCs w:val="22"/>
                <w:lang w:val="en-US"/>
              </w:rPr>
              <w:t>(</w:t>
            </w:r>
            <w:r w:rsidR="002739DF" w:rsidRPr="00AD7333">
              <w:rPr>
                <w:rFonts w:cstheme="minorHAnsi"/>
                <w:sz w:val="22"/>
                <w:szCs w:val="22"/>
                <w:lang w:val="en-US"/>
              </w:rPr>
              <w:t>Chairperson)</w:t>
            </w:r>
          </w:p>
          <w:p w14:paraId="7E79C2FF" w14:textId="0EFC3152" w:rsidR="006676C3" w:rsidRPr="00AD7333" w:rsidRDefault="00DE43EA" w:rsidP="00AD7333">
            <w:pPr>
              <w:jc w:val="both"/>
              <w:rPr>
                <w:rFonts w:cstheme="minorHAnsi"/>
                <w:sz w:val="22"/>
                <w:szCs w:val="22"/>
                <w:lang w:val="en-US"/>
              </w:rPr>
            </w:pPr>
            <w:r w:rsidRPr="00AD7333">
              <w:rPr>
                <w:rFonts w:cstheme="minorHAnsi"/>
                <w:sz w:val="22"/>
                <w:szCs w:val="22"/>
                <w:lang w:val="en-US"/>
              </w:rPr>
              <w:t>(Principal and CEO)</w:t>
            </w:r>
          </w:p>
          <w:p w14:paraId="203AA23B" w14:textId="77777777" w:rsidR="000A3ACB" w:rsidRPr="00AD7333" w:rsidRDefault="000A3ACB" w:rsidP="00AD7333">
            <w:pPr>
              <w:ind w:left="2099" w:hanging="2099"/>
              <w:jc w:val="both"/>
              <w:rPr>
                <w:rFonts w:cstheme="minorHAnsi"/>
                <w:b/>
                <w:sz w:val="22"/>
                <w:szCs w:val="22"/>
              </w:rPr>
            </w:pPr>
          </w:p>
          <w:p w14:paraId="046E7300" w14:textId="77777777" w:rsidR="009B094E" w:rsidRPr="00AD7333" w:rsidRDefault="009B094E" w:rsidP="00AD7333">
            <w:pPr>
              <w:ind w:left="2099" w:hanging="2099"/>
              <w:jc w:val="both"/>
              <w:rPr>
                <w:rFonts w:cstheme="minorHAnsi"/>
                <w:b/>
                <w:sz w:val="22"/>
                <w:szCs w:val="22"/>
              </w:rPr>
            </w:pPr>
          </w:p>
          <w:p w14:paraId="1C3E7801" w14:textId="77777777" w:rsidR="009B094E" w:rsidRPr="00AD7333" w:rsidRDefault="009B094E" w:rsidP="00AD7333">
            <w:pPr>
              <w:ind w:left="2099" w:hanging="2099"/>
              <w:jc w:val="both"/>
              <w:rPr>
                <w:rFonts w:cstheme="minorHAnsi"/>
                <w:sz w:val="22"/>
                <w:szCs w:val="22"/>
              </w:rPr>
            </w:pPr>
          </w:p>
          <w:p w14:paraId="2F412246" w14:textId="4E0ED44E" w:rsidR="00B213EB" w:rsidRPr="00AD7333" w:rsidRDefault="00B213EB" w:rsidP="00AD7333">
            <w:pPr>
              <w:ind w:left="2099" w:hanging="2099"/>
              <w:jc w:val="both"/>
              <w:rPr>
                <w:rFonts w:cstheme="minorHAnsi"/>
                <w:sz w:val="22"/>
                <w:szCs w:val="22"/>
              </w:rPr>
            </w:pPr>
          </w:p>
        </w:tc>
      </w:tr>
      <w:tr w:rsidR="000A3ACB" w:rsidRPr="00AD7333" w14:paraId="5AF59FA1" w14:textId="77777777" w:rsidTr="00AD7333">
        <w:tc>
          <w:tcPr>
            <w:tcW w:w="945" w:type="pct"/>
          </w:tcPr>
          <w:p w14:paraId="74219F1F" w14:textId="77777777" w:rsidR="000A3ACB" w:rsidRPr="00AD7333" w:rsidRDefault="000A3ACB" w:rsidP="00AD7333">
            <w:pPr>
              <w:jc w:val="both"/>
              <w:rPr>
                <w:rFonts w:cstheme="minorHAnsi"/>
                <w:b/>
                <w:sz w:val="22"/>
                <w:szCs w:val="22"/>
              </w:rPr>
            </w:pPr>
            <w:r w:rsidRPr="00AD7333">
              <w:rPr>
                <w:rFonts w:cstheme="minorHAnsi"/>
                <w:b/>
                <w:sz w:val="22"/>
                <w:szCs w:val="22"/>
              </w:rPr>
              <w:t>In Attendance:</w:t>
            </w:r>
          </w:p>
        </w:tc>
        <w:tc>
          <w:tcPr>
            <w:tcW w:w="1261" w:type="pct"/>
          </w:tcPr>
          <w:p w14:paraId="48E25030" w14:textId="31926CEB" w:rsidR="004066E2" w:rsidRPr="00AD7333" w:rsidRDefault="004066E2" w:rsidP="00AD7333">
            <w:pPr>
              <w:jc w:val="both"/>
              <w:rPr>
                <w:rFonts w:cstheme="minorHAnsi"/>
                <w:sz w:val="22"/>
                <w:szCs w:val="22"/>
                <w:lang w:val="en-US"/>
              </w:rPr>
            </w:pPr>
            <w:r w:rsidRPr="00AD7333">
              <w:rPr>
                <w:rFonts w:cstheme="minorHAnsi"/>
                <w:sz w:val="22"/>
                <w:szCs w:val="22"/>
                <w:lang w:val="en-US"/>
              </w:rPr>
              <w:t>Barry Watson</w:t>
            </w:r>
          </w:p>
          <w:p w14:paraId="2BD96755" w14:textId="59692F8A" w:rsidR="00DE43EA" w:rsidRPr="00AD7333" w:rsidRDefault="00DE43EA" w:rsidP="00AD7333">
            <w:pPr>
              <w:jc w:val="both"/>
              <w:rPr>
                <w:rFonts w:cstheme="minorHAnsi"/>
                <w:sz w:val="22"/>
                <w:szCs w:val="22"/>
                <w:lang w:val="en-US"/>
              </w:rPr>
            </w:pPr>
            <w:r w:rsidRPr="00AD7333">
              <w:rPr>
                <w:rFonts w:cstheme="minorHAnsi"/>
                <w:sz w:val="22"/>
                <w:szCs w:val="22"/>
                <w:lang w:val="en-US"/>
              </w:rPr>
              <w:t>Alison Duncalf</w:t>
            </w:r>
          </w:p>
          <w:p w14:paraId="4BA0ADAB" w14:textId="681C7E06" w:rsidR="00DE43EA" w:rsidRPr="00AD7333" w:rsidRDefault="00DE43EA" w:rsidP="00AD7333">
            <w:pPr>
              <w:jc w:val="both"/>
              <w:rPr>
                <w:rFonts w:cstheme="minorHAnsi"/>
                <w:sz w:val="22"/>
                <w:szCs w:val="22"/>
                <w:lang w:val="en-US"/>
              </w:rPr>
            </w:pPr>
            <w:r w:rsidRPr="00AD7333">
              <w:rPr>
                <w:rFonts w:cstheme="minorHAnsi"/>
                <w:sz w:val="22"/>
                <w:szCs w:val="22"/>
                <w:lang w:val="en-US"/>
              </w:rPr>
              <w:t>Kal Kay</w:t>
            </w:r>
          </w:p>
          <w:p w14:paraId="6966489A" w14:textId="281B9CCC" w:rsidR="00BD7F2B" w:rsidRPr="00AD7333" w:rsidRDefault="000A3ACB" w:rsidP="00AD7333">
            <w:pPr>
              <w:jc w:val="both"/>
              <w:rPr>
                <w:rFonts w:cstheme="minorHAnsi"/>
                <w:sz w:val="22"/>
                <w:szCs w:val="22"/>
                <w:lang w:val="en-US"/>
              </w:rPr>
            </w:pPr>
            <w:r w:rsidRPr="00AD7333">
              <w:rPr>
                <w:rFonts w:cstheme="minorHAnsi"/>
                <w:sz w:val="22"/>
                <w:szCs w:val="22"/>
                <w:lang w:val="en-US"/>
              </w:rPr>
              <w:t>Michelle Leslie</w:t>
            </w:r>
          </w:p>
          <w:p w14:paraId="4759DFDC" w14:textId="465B182C" w:rsidR="00D51B64" w:rsidRPr="00AD7333" w:rsidRDefault="00D51B64" w:rsidP="00AD7333">
            <w:pPr>
              <w:jc w:val="both"/>
              <w:rPr>
                <w:rFonts w:cstheme="minorHAnsi"/>
                <w:sz w:val="22"/>
                <w:szCs w:val="22"/>
                <w:lang w:val="en-US"/>
              </w:rPr>
            </w:pPr>
            <w:r w:rsidRPr="00AD7333">
              <w:rPr>
                <w:rFonts w:cstheme="minorHAnsi"/>
                <w:sz w:val="22"/>
                <w:szCs w:val="22"/>
                <w:lang w:val="en-US"/>
              </w:rPr>
              <w:t>Nata</w:t>
            </w:r>
            <w:r w:rsidR="003C23F1" w:rsidRPr="00AD7333">
              <w:rPr>
                <w:rFonts w:cstheme="minorHAnsi"/>
                <w:sz w:val="22"/>
                <w:szCs w:val="22"/>
                <w:lang w:val="en-US"/>
              </w:rPr>
              <w:t>sha</w:t>
            </w:r>
            <w:r w:rsidRPr="00AD7333">
              <w:rPr>
                <w:rFonts w:cstheme="minorHAnsi"/>
                <w:sz w:val="22"/>
                <w:szCs w:val="22"/>
                <w:lang w:val="en-US"/>
              </w:rPr>
              <w:t xml:space="preserve"> Bintley</w:t>
            </w:r>
          </w:p>
          <w:p w14:paraId="30DBC225" w14:textId="2FBB3690" w:rsidR="00861D93" w:rsidRPr="00AD7333" w:rsidRDefault="00861D93" w:rsidP="00AD7333">
            <w:pPr>
              <w:jc w:val="both"/>
              <w:rPr>
                <w:rFonts w:cstheme="minorHAnsi"/>
                <w:sz w:val="22"/>
                <w:szCs w:val="22"/>
                <w:lang w:val="en-US"/>
              </w:rPr>
            </w:pPr>
            <w:r w:rsidRPr="00AD7333">
              <w:rPr>
                <w:rFonts w:cstheme="minorHAnsi"/>
                <w:sz w:val="22"/>
                <w:szCs w:val="22"/>
                <w:lang w:val="en-US"/>
              </w:rPr>
              <w:t>Anthony Gribben-Lisle</w:t>
            </w:r>
          </w:p>
          <w:p w14:paraId="4DB2EDB2" w14:textId="3C28FF57" w:rsidR="00861D93" w:rsidRPr="00AD7333" w:rsidRDefault="00861D93" w:rsidP="00AD7333">
            <w:pPr>
              <w:jc w:val="both"/>
              <w:rPr>
                <w:rFonts w:cstheme="minorHAnsi"/>
                <w:sz w:val="22"/>
                <w:szCs w:val="22"/>
                <w:lang w:val="en-US"/>
              </w:rPr>
            </w:pPr>
            <w:r w:rsidRPr="00AD7333">
              <w:rPr>
                <w:rFonts w:cstheme="minorHAnsi"/>
                <w:sz w:val="22"/>
                <w:szCs w:val="22"/>
                <w:lang w:val="en-US"/>
              </w:rPr>
              <w:t xml:space="preserve">Naomi Harrop </w:t>
            </w:r>
          </w:p>
          <w:p w14:paraId="7EC423A8" w14:textId="0BD87BF5" w:rsidR="00861D93" w:rsidRPr="00AD7333" w:rsidRDefault="00861D93" w:rsidP="00AD7333">
            <w:pPr>
              <w:jc w:val="both"/>
              <w:rPr>
                <w:rFonts w:cstheme="minorHAnsi"/>
                <w:sz w:val="22"/>
                <w:szCs w:val="22"/>
                <w:lang w:val="en-US"/>
              </w:rPr>
            </w:pPr>
            <w:r w:rsidRPr="00AD7333">
              <w:rPr>
                <w:rFonts w:cstheme="minorHAnsi"/>
                <w:sz w:val="22"/>
                <w:szCs w:val="22"/>
                <w:lang w:val="en-US"/>
              </w:rPr>
              <w:t xml:space="preserve">Kelly Wright </w:t>
            </w:r>
          </w:p>
          <w:p w14:paraId="4B4F357F" w14:textId="0B182732" w:rsidR="00B43234" w:rsidRPr="00AD7333" w:rsidRDefault="00B43234" w:rsidP="00AD7333">
            <w:pPr>
              <w:jc w:val="both"/>
              <w:rPr>
                <w:rFonts w:cstheme="minorHAnsi"/>
                <w:sz w:val="22"/>
                <w:szCs w:val="22"/>
                <w:lang w:val="en-US"/>
              </w:rPr>
            </w:pPr>
            <w:r w:rsidRPr="00AD7333">
              <w:rPr>
                <w:rFonts w:cstheme="minorHAnsi"/>
                <w:sz w:val="22"/>
                <w:szCs w:val="22"/>
                <w:lang w:val="en-US"/>
              </w:rPr>
              <w:t>Dave Fitton</w:t>
            </w:r>
          </w:p>
        </w:tc>
        <w:tc>
          <w:tcPr>
            <w:tcW w:w="2794" w:type="pct"/>
          </w:tcPr>
          <w:p w14:paraId="38C438DB" w14:textId="77777777" w:rsidR="004066E2" w:rsidRPr="00AD7333" w:rsidRDefault="004066E2" w:rsidP="00AD7333">
            <w:pPr>
              <w:jc w:val="both"/>
              <w:rPr>
                <w:rFonts w:cstheme="minorHAnsi"/>
                <w:sz w:val="22"/>
                <w:szCs w:val="22"/>
              </w:rPr>
            </w:pPr>
            <w:r w:rsidRPr="00AD7333">
              <w:rPr>
                <w:rFonts w:cstheme="minorHAnsi"/>
                <w:sz w:val="22"/>
                <w:szCs w:val="22"/>
              </w:rPr>
              <w:t>(Corporation Secretary)</w:t>
            </w:r>
          </w:p>
          <w:p w14:paraId="6E8F19B4" w14:textId="14D095DB" w:rsidR="00DE43EA" w:rsidRPr="00AD7333" w:rsidRDefault="00DE43EA" w:rsidP="00AD7333">
            <w:pPr>
              <w:jc w:val="both"/>
              <w:rPr>
                <w:rFonts w:cstheme="minorHAnsi"/>
                <w:sz w:val="22"/>
                <w:szCs w:val="22"/>
              </w:rPr>
            </w:pPr>
            <w:r w:rsidRPr="00AD7333">
              <w:rPr>
                <w:rFonts w:cstheme="minorHAnsi"/>
                <w:sz w:val="22"/>
                <w:szCs w:val="22"/>
              </w:rPr>
              <w:t>(Deputy Corporation Secretary)</w:t>
            </w:r>
          </w:p>
          <w:p w14:paraId="0235318E" w14:textId="6DCC5A72" w:rsidR="00DE43EA" w:rsidRPr="00AD7333" w:rsidRDefault="00DE43EA" w:rsidP="00AD7333">
            <w:pPr>
              <w:jc w:val="both"/>
              <w:rPr>
                <w:rFonts w:cstheme="minorHAnsi"/>
                <w:sz w:val="22"/>
                <w:szCs w:val="22"/>
              </w:rPr>
            </w:pPr>
            <w:r w:rsidRPr="00AD7333">
              <w:rPr>
                <w:rFonts w:cstheme="minorHAnsi"/>
                <w:sz w:val="22"/>
                <w:szCs w:val="22"/>
              </w:rPr>
              <w:t>(Chief Finance Officer)</w:t>
            </w:r>
          </w:p>
          <w:p w14:paraId="5AC5FCBA" w14:textId="02DA0D19" w:rsidR="000A3ACB" w:rsidRPr="00AD7333" w:rsidRDefault="000A3ACB" w:rsidP="00AD7333">
            <w:pPr>
              <w:jc w:val="both"/>
              <w:rPr>
                <w:rFonts w:cstheme="minorHAnsi"/>
                <w:sz w:val="22"/>
                <w:szCs w:val="22"/>
              </w:rPr>
            </w:pPr>
            <w:r w:rsidRPr="00AD7333">
              <w:rPr>
                <w:rFonts w:cstheme="minorHAnsi"/>
                <w:sz w:val="22"/>
                <w:szCs w:val="22"/>
              </w:rPr>
              <w:t>(Vice Principal Corporate Services</w:t>
            </w:r>
            <w:r w:rsidR="008C06D2" w:rsidRPr="00AD7333">
              <w:rPr>
                <w:rFonts w:cstheme="minorHAnsi"/>
                <w:sz w:val="22"/>
                <w:szCs w:val="22"/>
              </w:rPr>
              <w:t xml:space="preserve"> &amp;</w:t>
            </w:r>
            <w:r w:rsidRPr="00AD7333">
              <w:rPr>
                <w:rFonts w:cstheme="minorHAnsi"/>
                <w:sz w:val="22"/>
                <w:szCs w:val="22"/>
              </w:rPr>
              <w:t xml:space="preserve"> Planning)</w:t>
            </w:r>
          </w:p>
          <w:p w14:paraId="419AE986" w14:textId="23DA22A8" w:rsidR="000766E5" w:rsidRPr="00AD7333" w:rsidRDefault="00FE7902" w:rsidP="00AD7333">
            <w:pPr>
              <w:jc w:val="both"/>
              <w:rPr>
                <w:rFonts w:cstheme="minorHAnsi"/>
                <w:sz w:val="22"/>
                <w:szCs w:val="22"/>
              </w:rPr>
            </w:pPr>
            <w:r w:rsidRPr="00AD7333">
              <w:rPr>
                <w:rFonts w:cstheme="minorHAnsi"/>
                <w:sz w:val="22"/>
                <w:szCs w:val="22"/>
              </w:rPr>
              <w:t>(Director of Finance)</w:t>
            </w:r>
          </w:p>
          <w:p w14:paraId="3E3D1A8C" w14:textId="4BDB365C" w:rsidR="006676C3" w:rsidRPr="00AD7333" w:rsidRDefault="006676C3" w:rsidP="00AD7333">
            <w:pPr>
              <w:jc w:val="both"/>
              <w:rPr>
                <w:rFonts w:cstheme="minorHAnsi"/>
                <w:sz w:val="22"/>
                <w:szCs w:val="22"/>
              </w:rPr>
            </w:pPr>
            <w:r w:rsidRPr="00AD7333">
              <w:rPr>
                <w:rFonts w:cstheme="minorHAnsi"/>
                <w:sz w:val="22"/>
                <w:szCs w:val="22"/>
              </w:rPr>
              <w:t>(</w:t>
            </w:r>
            <w:r w:rsidR="00FE7902" w:rsidRPr="00AD7333">
              <w:rPr>
                <w:rFonts w:cstheme="minorHAnsi"/>
                <w:sz w:val="22"/>
                <w:szCs w:val="22"/>
              </w:rPr>
              <w:t>ELT Consultant</w:t>
            </w:r>
            <w:r w:rsidRPr="00AD7333">
              <w:rPr>
                <w:rFonts w:cstheme="minorHAnsi"/>
                <w:sz w:val="22"/>
                <w:szCs w:val="22"/>
              </w:rPr>
              <w:t>)</w:t>
            </w:r>
          </w:p>
          <w:p w14:paraId="5A3D3792" w14:textId="69888914" w:rsidR="006676C3" w:rsidRPr="00AD7333" w:rsidRDefault="00D51B64" w:rsidP="00AD7333">
            <w:pPr>
              <w:jc w:val="both"/>
              <w:rPr>
                <w:rFonts w:cstheme="minorHAnsi"/>
                <w:sz w:val="22"/>
                <w:szCs w:val="22"/>
              </w:rPr>
            </w:pPr>
            <w:r w:rsidRPr="00AD7333">
              <w:rPr>
                <w:rFonts w:cstheme="minorHAnsi"/>
                <w:sz w:val="22"/>
                <w:szCs w:val="22"/>
              </w:rPr>
              <w:t xml:space="preserve">(Director of </w:t>
            </w:r>
            <w:r w:rsidR="00FE7902" w:rsidRPr="00AD7333">
              <w:rPr>
                <w:rFonts w:cstheme="minorHAnsi"/>
                <w:sz w:val="22"/>
                <w:szCs w:val="22"/>
              </w:rPr>
              <w:t>HR and Performance</w:t>
            </w:r>
            <w:r w:rsidRPr="00AD7333">
              <w:rPr>
                <w:rFonts w:cstheme="minorHAnsi"/>
                <w:sz w:val="22"/>
                <w:szCs w:val="22"/>
              </w:rPr>
              <w:t>)</w:t>
            </w:r>
          </w:p>
          <w:p w14:paraId="0D76ABDD" w14:textId="7ECDA7BF" w:rsidR="000766E5" w:rsidRPr="00AD7333" w:rsidRDefault="000766E5" w:rsidP="00AD7333">
            <w:pPr>
              <w:rPr>
                <w:rFonts w:cstheme="minorHAnsi"/>
                <w:sz w:val="22"/>
                <w:szCs w:val="22"/>
              </w:rPr>
            </w:pPr>
            <w:r w:rsidRPr="00AD7333">
              <w:rPr>
                <w:rFonts w:cstheme="minorHAnsi"/>
                <w:sz w:val="22"/>
                <w:szCs w:val="22"/>
              </w:rPr>
              <w:t>(</w:t>
            </w:r>
            <w:r w:rsidR="00FE7902" w:rsidRPr="00AD7333">
              <w:rPr>
                <w:rFonts w:cstheme="minorHAnsi"/>
                <w:sz w:val="22"/>
                <w:szCs w:val="22"/>
              </w:rPr>
              <w:t xml:space="preserve">Assistant Principal </w:t>
            </w:r>
            <w:r w:rsidR="00AC4646" w:rsidRPr="00AD7333">
              <w:rPr>
                <w:rFonts w:cstheme="minorHAnsi"/>
                <w:sz w:val="22"/>
                <w:szCs w:val="22"/>
              </w:rPr>
              <w:t>–</w:t>
            </w:r>
            <w:r w:rsidR="00FE7902" w:rsidRPr="00AD7333">
              <w:rPr>
                <w:rFonts w:cstheme="minorHAnsi"/>
                <w:sz w:val="22"/>
                <w:szCs w:val="22"/>
              </w:rPr>
              <w:t xml:space="preserve"> </w:t>
            </w:r>
            <w:r w:rsidR="00AC4646" w:rsidRPr="00AD7333">
              <w:rPr>
                <w:rFonts w:cstheme="minorHAnsi"/>
                <w:sz w:val="22"/>
                <w:szCs w:val="22"/>
              </w:rPr>
              <w:t xml:space="preserve">Planning, Funding </w:t>
            </w:r>
            <w:r w:rsidR="00AD7333">
              <w:rPr>
                <w:rFonts w:cstheme="minorHAnsi"/>
                <w:sz w:val="22"/>
                <w:szCs w:val="22"/>
              </w:rPr>
              <w:t xml:space="preserve">&amp; </w:t>
            </w:r>
            <w:r w:rsidR="00AC4646" w:rsidRPr="00AD7333">
              <w:rPr>
                <w:rFonts w:cstheme="minorHAnsi"/>
                <w:sz w:val="22"/>
                <w:szCs w:val="22"/>
              </w:rPr>
              <w:t>Performance)</w:t>
            </w:r>
            <w:r w:rsidRPr="00AD7333">
              <w:rPr>
                <w:rFonts w:cstheme="minorHAnsi"/>
                <w:sz w:val="22"/>
                <w:szCs w:val="22"/>
              </w:rPr>
              <w:t xml:space="preserve"> </w:t>
            </w:r>
          </w:p>
          <w:p w14:paraId="49303F35" w14:textId="0CA4AEA4" w:rsidR="00AC4646" w:rsidRPr="00AD7333" w:rsidRDefault="00AC4646" w:rsidP="00AD7333">
            <w:pPr>
              <w:jc w:val="both"/>
              <w:rPr>
                <w:rFonts w:cstheme="minorHAnsi"/>
                <w:sz w:val="22"/>
                <w:szCs w:val="22"/>
              </w:rPr>
            </w:pPr>
            <w:r w:rsidRPr="00AD7333">
              <w:rPr>
                <w:rFonts w:cstheme="minorHAnsi"/>
                <w:sz w:val="22"/>
                <w:szCs w:val="22"/>
              </w:rPr>
              <w:t>(Director of IT and Digital Services)</w:t>
            </w:r>
          </w:p>
        </w:tc>
      </w:tr>
    </w:tbl>
    <w:p w14:paraId="1BF9D95A" w14:textId="77777777" w:rsidR="00ED3897" w:rsidRPr="00AD7333" w:rsidRDefault="00ED3897" w:rsidP="00AD7333">
      <w:pPr>
        <w:jc w:val="both"/>
        <w:rPr>
          <w:rFonts w:asciiTheme="minorHAnsi" w:hAnsiTheme="minorHAnsi" w:cstheme="minorHAnsi"/>
          <w:sz w:val="22"/>
          <w:szCs w:val="22"/>
        </w:rPr>
      </w:pPr>
    </w:p>
    <w:p w14:paraId="5B1420D1" w14:textId="77777777" w:rsidR="00B665DD" w:rsidRPr="00AD7333" w:rsidRDefault="00B665DD" w:rsidP="00AD7333">
      <w:pPr>
        <w:jc w:val="both"/>
        <w:rPr>
          <w:rFonts w:asciiTheme="minorHAnsi" w:hAnsiTheme="minorHAnsi" w:cstheme="minorHAnsi"/>
          <w:sz w:val="22"/>
          <w:szCs w:val="22"/>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8160"/>
      </w:tblGrid>
      <w:tr w:rsidR="002C579A" w:rsidRPr="00AD7333" w14:paraId="55DF5048" w14:textId="77777777" w:rsidTr="00AD7333">
        <w:trPr>
          <w:tblHeader/>
        </w:trPr>
        <w:tc>
          <w:tcPr>
            <w:tcW w:w="767" w:type="pct"/>
          </w:tcPr>
          <w:p w14:paraId="2E3BEAF0" w14:textId="77777777" w:rsidR="002C579A" w:rsidRPr="00AD7333" w:rsidRDefault="002C579A" w:rsidP="00AD7333">
            <w:pPr>
              <w:jc w:val="both"/>
              <w:rPr>
                <w:rFonts w:cstheme="minorHAnsi"/>
                <w:b/>
                <w:sz w:val="22"/>
                <w:szCs w:val="22"/>
              </w:rPr>
            </w:pPr>
            <w:r w:rsidRPr="00AD7333">
              <w:rPr>
                <w:rFonts w:cstheme="minorHAnsi"/>
                <w:b/>
                <w:sz w:val="22"/>
                <w:szCs w:val="22"/>
              </w:rPr>
              <w:t>Minute No:</w:t>
            </w:r>
          </w:p>
        </w:tc>
        <w:tc>
          <w:tcPr>
            <w:tcW w:w="4233" w:type="pct"/>
          </w:tcPr>
          <w:p w14:paraId="4BB0BA13" w14:textId="77777777" w:rsidR="002C579A" w:rsidRPr="00AD7333" w:rsidRDefault="002C579A" w:rsidP="00AD7333">
            <w:pPr>
              <w:tabs>
                <w:tab w:val="left" w:pos="2160"/>
                <w:tab w:val="left" w:pos="5220"/>
              </w:tabs>
              <w:jc w:val="both"/>
              <w:rPr>
                <w:rFonts w:cstheme="minorHAnsi"/>
                <w:sz w:val="22"/>
                <w:szCs w:val="22"/>
                <w:lang w:val="en-US"/>
              </w:rPr>
            </w:pPr>
          </w:p>
        </w:tc>
      </w:tr>
      <w:tr w:rsidR="005F3A0C" w:rsidRPr="00AD7333" w14:paraId="7DC0429C" w14:textId="77777777" w:rsidTr="00AD7333">
        <w:trPr>
          <w:tblHeader/>
        </w:trPr>
        <w:tc>
          <w:tcPr>
            <w:tcW w:w="767" w:type="pct"/>
          </w:tcPr>
          <w:p w14:paraId="7317AAC7" w14:textId="77777777" w:rsidR="005F3A0C" w:rsidRPr="00AD7333" w:rsidRDefault="005F3A0C" w:rsidP="00AD7333">
            <w:pPr>
              <w:jc w:val="both"/>
              <w:rPr>
                <w:rFonts w:cstheme="minorHAnsi"/>
                <w:b/>
                <w:sz w:val="22"/>
                <w:szCs w:val="22"/>
              </w:rPr>
            </w:pPr>
          </w:p>
        </w:tc>
        <w:tc>
          <w:tcPr>
            <w:tcW w:w="4233" w:type="pct"/>
          </w:tcPr>
          <w:p w14:paraId="6DFF7F37" w14:textId="77777777" w:rsidR="005F3A0C" w:rsidRPr="00AD7333" w:rsidRDefault="005F3A0C" w:rsidP="00AD7333">
            <w:pPr>
              <w:tabs>
                <w:tab w:val="left" w:pos="2160"/>
                <w:tab w:val="left" w:pos="5220"/>
              </w:tabs>
              <w:jc w:val="both"/>
              <w:rPr>
                <w:rFonts w:cstheme="minorHAnsi"/>
                <w:sz w:val="22"/>
                <w:szCs w:val="22"/>
                <w:lang w:val="en-US"/>
              </w:rPr>
            </w:pPr>
          </w:p>
        </w:tc>
      </w:tr>
      <w:tr w:rsidR="002C579A" w:rsidRPr="00AD7333" w14:paraId="1142508E" w14:textId="77777777" w:rsidTr="00AD7333">
        <w:tc>
          <w:tcPr>
            <w:tcW w:w="767" w:type="pct"/>
          </w:tcPr>
          <w:p w14:paraId="53C84E96" w14:textId="3B124E76" w:rsidR="002C579A" w:rsidRPr="00AD7333" w:rsidRDefault="00A23EAC" w:rsidP="00AD7333">
            <w:pPr>
              <w:jc w:val="both"/>
              <w:rPr>
                <w:rFonts w:cstheme="minorHAnsi"/>
                <w:b/>
                <w:sz w:val="22"/>
                <w:szCs w:val="22"/>
              </w:rPr>
            </w:pPr>
            <w:r w:rsidRPr="00AD7333">
              <w:rPr>
                <w:rFonts w:cstheme="minorHAnsi"/>
                <w:b/>
                <w:sz w:val="22"/>
                <w:szCs w:val="22"/>
              </w:rPr>
              <w:t>RES/</w:t>
            </w:r>
            <w:r w:rsidR="00375CBB" w:rsidRPr="00AD7333">
              <w:rPr>
                <w:rFonts w:cstheme="minorHAnsi"/>
                <w:b/>
                <w:sz w:val="22"/>
                <w:szCs w:val="22"/>
              </w:rPr>
              <w:t>01/22</w:t>
            </w:r>
          </w:p>
        </w:tc>
        <w:tc>
          <w:tcPr>
            <w:tcW w:w="4233" w:type="pct"/>
          </w:tcPr>
          <w:p w14:paraId="467BAA55" w14:textId="3768DCF3" w:rsidR="00455921" w:rsidRPr="00AD7333" w:rsidRDefault="002C579A" w:rsidP="00AD7333">
            <w:pPr>
              <w:jc w:val="both"/>
              <w:rPr>
                <w:rFonts w:cstheme="minorHAnsi"/>
                <w:sz w:val="22"/>
                <w:szCs w:val="22"/>
                <w:lang w:val="en-US"/>
              </w:rPr>
            </w:pPr>
            <w:r w:rsidRPr="00AD7333">
              <w:rPr>
                <w:rFonts w:cstheme="minorHAnsi"/>
                <w:b/>
                <w:sz w:val="22"/>
                <w:szCs w:val="22"/>
                <w:lang w:val="en-US"/>
              </w:rPr>
              <w:t>Apologies for Absence</w:t>
            </w:r>
          </w:p>
        </w:tc>
      </w:tr>
      <w:tr w:rsidR="002C579A" w:rsidRPr="00AD7333" w14:paraId="0409F82F" w14:textId="77777777" w:rsidTr="00AD7333">
        <w:tc>
          <w:tcPr>
            <w:tcW w:w="767" w:type="pct"/>
          </w:tcPr>
          <w:p w14:paraId="49B511B2" w14:textId="77777777" w:rsidR="002C579A" w:rsidRPr="00AD7333" w:rsidRDefault="002C579A" w:rsidP="00AD7333">
            <w:pPr>
              <w:jc w:val="both"/>
              <w:rPr>
                <w:rFonts w:cstheme="minorHAnsi"/>
                <w:b/>
                <w:sz w:val="22"/>
                <w:szCs w:val="22"/>
              </w:rPr>
            </w:pPr>
          </w:p>
        </w:tc>
        <w:tc>
          <w:tcPr>
            <w:tcW w:w="4233" w:type="pct"/>
          </w:tcPr>
          <w:p w14:paraId="59E436AF" w14:textId="77777777" w:rsidR="0024220C" w:rsidRPr="00AD7333" w:rsidRDefault="0024220C" w:rsidP="00AD7333">
            <w:pPr>
              <w:jc w:val="both"/>
              <w:rPr>
                <w:rFonts w:cstheme="minorHAnsi"/>
                <w:bCs/>
                <w:sz w:val="22"/>
                <w:szCs w:val="22"/>
              </w:rPr>
            </w:pPr>
          </w:p>
          <w:p w14:paraId="546EAB1B" w14:textId="77FA66E6" w:rsidR="008503DE" w:rsidRPr="00AD7333" w:rsidRDefault="00C9114F" w:rsidP="00AD7333">
            <w:pPr>
              <w:jc w:val="both"/>
              <w:rPr>
                <w:rFonts w:cstheme="minorHAnsi"/>
                <w:bCs/>
                <w:sz w:val="22"/>
                <w:szCs w:val="22"/>
              </w:rPr>
            </w:pPr>
            <w:r w:rsidRPr="00AD7333">
              <w:rPr>
                <w:rFonts w:cstheme="minorHAnsi"/>
                <w:bCs/>
                <w:sz w:val="22"/>
                <w:szCs w:val="22"/>
              </w:rPr>
              <w:t>The Corporation Secretary (CS)</w:t>
            </w:r>
            <w:r w:rsidR="00C81721" w:rsidRPr="00AD7333">
              <w:rPr>
                <w:rFonts w:cstheme="minorHAnsi"/>
                <w:bCs/>
                <w:sz w:val="22"/>
                <w:szCs w:val="22"/>
              </w:rPr>
              <w:t xml:space="preserve"> reported that</w:t>
            </w:r>
            <w:r w:rsidR="0058589F" w:rsidRPr="00AD7333">
              <w:rPr>
                <w:rFonts w:cstheme="minorHAnsi"/>
                <w:bCs/>
                <w:sz w:val="22"/>
                <w:szCs w:val="22"/>
              </w:rPr>
              <w:t xml:space="preserve"> apologies</w:t>
            </w:r>
            <w:r w:rsidR="00A23EAC" w:rsidRPr="00AD7333">
              <w:rPr>
                <w:rFonts w:cstheme="minorHAnsi"/>
                <w:bCs/>
                <w:sz w:val="22"/>
                <w:szCs w:val="22"/>
              </w:rPr>
              <w:t xml:space="preserve"> for absence had been received</w:t>
            </w:r>
            <w:r w:rsidR="00995E13" w:rsidRPr="00AD7333">
              <w:rPr>
                <w:rFonts w:cstheme="minorHAnsi"/>
                <w:bCs/>
                <w:sz w:val="22"/>
                <w:szCs w:val="22"/>
              </w:rPr>
              <w:t xml:space="preserve"> from</w:t>
            </w:r>
            <w:r w:rsidR="0081553C" w:rsidRPr="00AD7333">
              <w:rPr>
                <w:rFonts w:cstheme="minorHAnsi"/>
                <w:bCs/>
                <w:sz w:val="22"/>
                <w:szCs w:val="22"/>
              </w:rPr>
              <w:t xml:space="preserve"> </w:t>
            </w:r>
            <w:r w:rsidR="006F115A" w:rsidRPr="00AD7333">
              <w:rPr>
                <w:rFonts w:cstheme="minorHAnsi"/>
                <w:bCs/>
                <w:sz w:val="22"/>
                <w:szCs w:val="22"/>
              </w:rPr>
              <w:t xml:space="preserve">Jill Bottomley, </w:t>
            </w:r>
            <w:r w:rsidR="000261DC" w:rsidRPr="00AD7333">
              <w:rPr>
                <w:rFonts w:cstheme="minorHAnsi"/>
                <w:bCs/>
                <w:sz w:val="22"/>
                <w:szCs w:val="22"/>
              </w:rPr>
              <w:t xml:space="preserve">Graham Luccock, Alison Hewitt and </w:t>
            </w:r>
            <w:r w:rsidR="00375CBB" w:rsidRPr="00AD7333">
              <w:rPr>
                <w:rFonts w:cstheme="minorHAnsi"/>
                <w:bCs/>
                <w:sz w:val="22"/>
                <w:szCs w:val="22"/>
              </w:rPr>
              <w:t>Sabine Van der Veer</w:t>
            </w:r>
            <w:r w:rsidR="000261DC" w:rsidRPr="00AD7333">
              <w:rPr>
                <w:rFonts w:cstheme="minorHAnsi"/>
                <w:bCs/>
                <w:sz w:val="22"/>
                <w:szCs w:val="22"/>
              </w:rPr>
              <w:t>.</w:t>
            </w:r>
          </w:p>
          <w:p w14:paraId="02656E9C" w14:textId="0850FCBD" w:rsidR="00375CBB" w:rsidRPr="00AD7333" w:rsidRDefault="00375CBB" w:rsidP="00AD7333">
            <w:pPr>
              <w:jc w:val="both"/>
              <w:rPr>
                <w:rFonts w:cstheme="minorHAnsi"/>
                <w:bCs/>
                <w:sz w:val="22"/>
                <w:szCs w:val="22"/>
              </w:rPr>
            </w:pPr>
          </w:p>
          <w:p w14:paraId="25FC9CA1" w14:textId="2BD242F4" w:rsidR="00375CBB" w:rsidRPr="00AD7333" w:rsidRDefault="00AB1E58" w:rsidP="00AD7333">
            <w:pPr>
              <w:jc w:val="both"/>
              <w:rPr>
                <w:rFonts w:cstheme="minorHAnsi"/>
                <w:bCs/>
                <w:sz w:val="22"/>
                <w:szCs w:val="22"/>
              </w:rPr>
            </w:pPr>
            <w:r>
              <w:rPr>
                <w:rFonts w:cstheme="minorHAnsi"/>
                <w:bCs/>
                <w:sz w:val="22"/>
                <w:szCs w:val="22"/>
              </w:rPr>
              <w:t>It was also advised that t</w:t>
            </w:r>
            <w:r w:rsidR="00375CBB" w:rsidRPr="00AD7333">
              <w:rPr>
                <w:rFonts w:cstheme="minorHAnsi"/>
                <w:bCs/>
                <w:sz w:val="22"/>
                <w:szCs w:val="22"/>
              </w:rPr>
              <w:t xml:space="preserve">he Deputy Principal </w:t>
            </w:r>
            <w:r>
              <w:rPr>
                <w:rFonts w:cstheme="minorHAnsi"/>
                <w:bCs/>
                <w:sz w:val="22"/>
                <w:szCs w:val="22"/>
              </w:rPr>
              <w:t xml:space="preserve">had informed the CS that she </w:t>
            </w:r>
            <w:r w:rsidR="00375CBB" w:rsidRPr="00AD7333">
              <w:rPr>
                <w:rFonts w:cstheme="minorHAnsi"/>
                <w:bCs/>
                <w:sz w:val="22"/>
                <w:szCs w:val="22"/>
              </w:rPr>
              <w:t>was unable to attend the meeting</w:t>
            </w:r>
            <w:r>
              <w:rPr>
                <w:rFonts w:cstheme="minorHAnsi"/>
                <w:bCs/>
                <w:sz w:val="22"/>
                <w:szCs w:val="22"/>
              </w:rPr>
              <w:t>.</w:t>
            </w:r>
            <w:r w:rsidR="00375CBB" w:rsidRPr="00AD7333">
              <w:rPr>
                <w:rFonts w:cstheme="minorHAnsi"/>
                <w:bCs/>
                <w:sz w:val="22"/>
                <w:szCs w:val="22"/>
              </w:rPr>
              <w:t xml:space="preserve"> </w:t>
            </w:r>
          </w:p>
          <w:p w14:paraId="1C159BE2" w14:textId="3D8D5BD0" w:rsidR="00B45507" w:rsidRPr="00AD7333" w:rsidRDefault="00B45507" w:rsidP="00AD7333">
            <w:pPr>
              <w:jc w:val="both"/>
              <w:rPr>
                <w:rFonts w:cstheme="minorHAnsi"/>
                <w:b/>
                <w:sz w:val="22"/>
                <w:szCs w:val="22"/>
                <w:lang w:val="en-US"/>
              </w:rPr>
            </w:pPr>
          </w:p>
        </w:tc>
      </w:tr>
      <w:tr w:rsidR="0020685E" w:rsidRPr="00AD7333" w14:paraId="76BBBA40" w14:textId="77777777" w:rsidTr="00AD7333">
        <w:tc>
          <w:tcPr>
            <w:tcW w:w="767" w:type="pct"/>
          </w:tcPr>
          <w:p w14:paraId="2EC8E458" w14:textId="399EFBA5" w:rsidR="0020685E" w:rsidRPr="00AD7333" w:rsidRDefault="0020685E" w:rsidP="00AD7333">
            <w:pPr>
              <w:jc w:val="both"/>
              <w:rPr>
                <w:rFonts w:cstheme="minorHAnsi"/>
                <w:b/>
                <w:sz w:val="22"/>
                <w:szCs w:val="22"/>
              </w:rPr>
            </w:pPr>
            <w:r w:rsidRPr="00AD7333">
              <w:rPr>
                <w:rFonts w:cstheme="minorHAnsi"/>
                <w:b/>
                <w:sz w:val="22"/>
                <w:szCs w:val="22"/>
              </w:rPr>
              <w:t>RES/</w:t>
            </w:r>
            <w:r w:rsidR="002F1537" w:rsidRPr="00AD7333">
              <w:rPr>
                <w:rFonts w:cstheme="minorHAnsi"/>
                <w:b/>
                <w:sz w:val="22"/>
                <w:szCs w:val="22"/>
              </w:rPr>
              <w:t>02</w:t>
            </w:r>
            <w:r w:rsidRPr="00AD7333">
              <w:rPr>
                <w:rFonts w:cstheme="minorHAnsi"/>
                <w:b/>
                <w:sz w:val="22"/>
                <w:szCs w:val="22"/>
              </w:rPr>
              <w:t>/2</w:t>
            </w:r>
            <w:r w:rsidR="002F1537" w:rsidRPr="00AD7333">
              <w:rPr>
                <w:rFonts w:cstheme="minorHAnsi"/>
                <w:b/>
                <w:sz w:val="22"/>
                <w:szCs w:val="22"/>
              </w:rPr>
              <w:t>2</w:t>
            </w:r>
          </w:p>
        </w:tc>
        <w:tc>
          <w:tcPr>
            <w:tcW w:w="4233" w:type="pct"/>
          </w:tcPr>
          <w:p w14:paraId="6BECCE85" w14:textId="2312BF21" w:rsidR="008004F6" w:rsidRPr="00AD7333" w:rsidRDefault="0020685E" w:rsidP="00AD7333">
            <w:pPr>
              <w:jc w:val="both"/>
              <w:rPr>
                <w:rFonts w:cstheme="minorHAnsi"/>
                <w:b/>
                <w:bCs/>
                <w:sz w:val="22"/>
                <w:szCs w:val="22"/>
              </w:rPr>
            </w:pPr>
            <w:r w:rsidRPr="00AD7333">
              <w:rPr>
                <w:rFonts w:cstheme="minorHAnsi"/>
                <w:b/>
                <w:sz w:val="22"/>
                <w:szCs w:val="22"/>
              </w:rPr>
              <w:t>Declarations of Direct or Indirect Interest in any of the meetings business items</w:t>
            </w:r>
          </w:p>
        </w:tc>
      </w:tr>
      <w:tr w:rsidR="0020685E" w:rsidRPr="00AD7333" w14:paraId="7E784D06" w14:textId="77777777" w:rsidTr="00AD7333">
        <w:tc>
          <w:tcPr>
            <w:tcW w:w="767" w:type="pct"/>
          </w:tcPr>
          <w:p w14:paraId="078D4384" w14:textId="77777777" w:rsidR="0020685E" w:rsidRPr="00AD7333" w:rsidRDefault="0020685E" w:rsidP="00AD7333">
            <w:pPr>
              <w:jc w:val="both"/>
              <w:rPr>
                <w:rFonts w:cstheme="minorHAnsi"/>
                <w:b/>
                <w:sz w:val="22"/>
                <w:szCs w:val="22"/>
              </w:rPr>
            </w:pPr>
          </w:p>
        </w:tc>
        <w:tc>
          <w:tcPr>
            <w:tcW w:w="4233" w:type="pct"/>
          </w:tcPr>
          <w:p w14:paraId="70E8CD17" w14:textId="77777777" w:rsidR="0024220C" w:rsidRPr="00AD7333" w:rsidRDefault="0024220C" w:rsidP="00AD7333">
            <w:pPr>
              <w:jc w:val="both"/>
              <w:rPr>
                <w:rFonts w:cstheme="minorHAnsi"/>
                <w:sz w:val="22"/>
                <w:szCs w:val="22"/>
              </w:rPr>
            </w:pPr>
          </w:p>
          <w:p w14:paraId="08B05EBE" w14:textId="213B0984" w:rsidR="0020685E" w:rsidRPr="00AD7333" w:rsidRDefault="0020685E" w:rsidP="00AD7333">
            <w:pPr>
              <w:jc w:val="both"/>
              <w:rPr>
                <w:rFonts w:cstheme="minorHAnsi"/>
                <w:sz w:val="22"/>
                <w:szCs w:val="22"/>
              </w:rPr>
            </w:pPr>
            <w:r w:rsidRPr="00AD7333">
              <w:rPr>
                <w:rFonts w:cstheme="minorHAnsi"/>
                <w:sz w:val="22"/>
                <w:szCs w:val="22"/>
              </w:rPr>
              <w:t>There were no declarations of either direct or indirect interest in ant of the meetings business items.</w:t>
            </w:r>
          </w:p>
          <w:p w14:paraId="5163D892" w14:textId="1050D963" w:rsidR="008004F6" w:rsidRPr="00AD7333" w:rsidRDefault="008004F6" w:rsidP="00AD7333">
            <w:pPr>
              <w:jc w:val="both"/>
              <w:rPr>
                <w:rFonts w:cstheme="minorHAnsi"/>
                <w:b/>
                <w:sz w:val="22"/>
                <w:szCs w:val="22"/>
              </w:rPr>
            </w:pPr>
          </w:p>
        </w:tc>
      </w:tr>
      <w:tr w:rsidR="0020685E" w:rsidRPr="00AD7333" w14:paraId="14F5113F" w14:textId="77777777" w:rsidTr="00AD7333">
        <w:tc>
          <w:tcPr>
            <w:tcW w:w="767" w:type="pct"/>
          </w:tcPr>
          <w:p w14:paraId="4A2934D6" w14:textId="558E528F" w:rsidR="0020685E" w:rsidRPr="00AD7333" w:rsidRDefault="0020685E" w:rsidP="00AD7333">
            <w:pPr>
              <w:jc w:val="both"/>
              <w:rPr>
                <w:rFonts w:cstheme="minorHAnsi"/>
                <w:b/>
                <w:sz w:val="22"/>
                <w:szCs w:val="22"/>
              </w:rPr>
            </w:pPr>
            <w:r w:rsidRPr="00AD7333">
              <w:rPr>
                <w:rFonts w:cstheme="minorHAnsi"/>
                <w:b/>
                <w:sz w:val="22"/>
                <w:szCs w:val="22"/>
              </w:rPr>
              <w:t>RES/</w:t>
            </w:r>
            <w:r w:rsidR="002F1537" w:rsidRPr="00AD7333">
              <w:rPr>
                <w:rFonts w:cstheme="minorHAnsi"/>
                <w:b/>
                <w:sz w:val="22"/>
                <w:szCs w:val="22"/>
              </w:rPr>
              <w:t>0</w:t>
            </w:r>
            <w:r w:rsidR="0081553C" w:rsidRPr="00AD7333">
              <w:rPr>
                <w:rFonts w:cstheme="minorHAnsi"/>
                <w:b/>
                <w:sz w:val="22"/>
                <w:szCs w:val="22"/>
              </w:rPr>
              <w:t>3</w:t>
            </w:r>
            <w:r w:rsidRPr="00AD7333">
              <w:rPr>
                <w:rFonts w:cstheme="minorHAnsi"/>
                <w:b/>
                <w:sz w:val="22"/>
                <w:szCs w:val="22"/>
              </w:rPr>
              <w:t>/2</w:t>
            </w:r>
            <w:r w:rsidR="002F1537" w:rsidRPr="00AD7333">
              <w:rPr>
                <w:rFonts w:cstheme="minorHAnsi"/>
                <w:b/>
                <w:sz w:val="22"/>
                <w:szCs w:val="22"/>
              </w:rPr>
              <w:t>2</w:t>
            </w:r>
          </w:p>
        </w:tc>
        <w:tc>
          <w:tcPr>
            <w:tcW w:w="4233" w:type="pct"/>
          </w:tcPr>
          <w:p w14:paraId="29DCC16C" w14:textId="555B92AE" w:rsidR="008004F6" w:rsidRPr="00AD7333" w:rsidRDefault="0020685E" w:rsidP="00AD7333">
            <w:pPr>
              <w:jc w:val="both"/>
              <w:rPr>
                <w:rFonts w:cstheme="minorHAnsi"/>
                <w:b/>
                <w:sz w:val="22"/>
                <w:szCs w:val="22"/>
              </w:rPr>
            </w:pPr>
            <w:r w:rsidRPr="00AD7333">
              <w:rPr>
                <w:rFonts w:cstheme="minorHAnsi"/>
                <w:b/>
                <w:sz w:val="22"/>
                <w:szCs w:val="22"/>
              </w:rPr>
              <w:t xml:space="preserve">Minutes of the meeting held on </w:t>
            </w:r>
            <w:r w:rsidR="002F1537" w:rsidRPr="00AD7333">
              <w:rPr>
                <w:rFonts w:cstheme="minorHAnsi"/>
                <w:b/>
                <w:sz w:val="22"/>
                <w:szCs w:val="22"/>
              </w:rPr>
              <w:t>17 November 2021</w:t>
            </w:r>
          </w:p>
        </w:tc>
      </w:tr>
      <w:tr w:rsidR="0020685E" w:rsidRPr="00AD7333" w14:paraId="2A0C6509" w14:textId="77777777" w:rsidTr="00AD7333">
        <w:tc>
          <w:tcPr>
            <w:tcW w:w="767" w:type="pct"/>
          </w:tcPr>
          <w:p w14:paraId="400028A1" w14:textId="77777777" w:rsidR="0020685E" w:rsidRPr="00AD7333" w:rsidRDefault="0020685E" w:rsidP="00AD7333">
            <w:pPr>
              <w:jc w:val="both"/>
              <w:rPr>
                <w:rFonts w:cstheme="minorHAnsi"/>
                <w:b/>
                <w:sz w:val="22"/>
                <w:szCs w:val="22"/>
              </w:rPr>
            </w:pPr>
          </w:p>
        </w:tc>
        <w:tc>
          <w:tcPr>
            <w:tcW w:w="4233" w:type="pct"/>
          </w:tcPr>
          <w:p w14:paraId="684012EF" w14:textId="77777777" w:rsidR="008806E1" w:rsidRPr="00AD7333" w:rsidRDefault="008806E1" w:rsidP="00AD7333">
            <w:pPr>
              <w:jc w:val="both"/>
              <w:rPr>
                <w:rFonts w:cstheme="minorHAnsi"/>
                <w:b/>
                <w:bCs/>
                <w:sz w:val="22"/>
                <w:szCs w:val="22"/>
              </w:rPr>
            </w:pPr>
          </w:p>
          <w:p w14:paraId="67771D4C" w14:textId="3B849475" w:rsidR="0020685E" w:rsidRPr="00AD7333" w:rsidRDefault="0020685E" w:rsidP="00AD7333">
            <w:pPr>
              <w:jc w:val="both"/>
              <w:rPr>
                <w:rFonts w:cstheme="minorHAnsi"/>
                <w:b/>
                <w:bCs/>
                <w:sz w:val="22"/>
                <w:szCs w:val="22"/>
              </w:rPr>
            </w:pPr>
            <w:r w:rsidRPr="00AD7333">
              <w:rPr>
                <w:rFonts w:cstheme="minorHAnsi"/>
                <w:b/>
                <w:bCs/>
                <w:sz w:val="22"/>
                <w:szCs w:val="22"/>
              </w:rPr>
              <w:t>The minutes of the meeting were approved and accepted as a correct account of the meetings proceedings.</w:t>
            </w:r>
          </w:p>
          <w:p w14:paraId="612380AD" w14:textId="7BBB9CB1" w:rsidR="008004F6" w:rsidRPr="00AD7333" w:rsidRDefault="008004F6" w:rsidP="00AD7333">
            <w:pPr>
              <w:jc w:val="both"/>
              <w:rPr>
                <w:rFonts w:cstheme="minorHAnsi"/>
                <w:b/>
                <w:bCs/>
                <w:sz w:val="22"/>
                <w:szCs w:val="22"/>
              </w:rPr>
            </w:pPr>
          </w:p>
        </w:tc>
      </w:tr>
      <w:tr w:rsidR="0020685E" w:rsidRPr="00AD7333" w14:paraId="4009D47D" w14:textId="77777777" w:rsidTr="00AD7333">
        <w:tc>
          <w:tcPr>
            <w:tcW w:w="767" w:type="pct"/>
          </w:tcPr>
          <w:p w14:paraId="068810F1" w14:textId="575443F9" w:rsidR="0020685E" w:rsidRPr="00AD7333" w:rsidRDefault="0020685E" w:rsidP="00AD7333">
            <w:pPr>
              <w:jc w:val="both"/>
              <w:rPr>
                <w:rFonts w:cstheme="minorHAnsi"/>
                <w:b/>
                <w:sz w:val="22"/>
                <w:szCs w:val="22"/>
              </w:rPr>
            </w:pPr>
            <w:r w:rsidRPr="00AD7333">
              <w:rPr>
                <w:rFonts w:cstheme="minorHAnsi"/>
                <w:b/>
                <w:sz w:val="22"/>
                <w:szCs w:val="22"/>
              </w:rPr>
              <w:t>RES/</w:t>
            </w:r>
            <w:r w:rsidR="002F1537" w:rsidRPr="00AD7333">
              <w:rPr>
                <w:rFonts w:cstheme="minorHAnsi"/>
                <w:b/>
                <w:sz w:val="22"/>
                <w:szCs w:val="22"/>
              </w:rPr>
              <w:t>04</w:t>
            </w:r>
            <w:r w:rsidRPr="00AD7333">
              <w:rPr>
                <w:rFonts w:cstheme="minorHAnsi"/>
                <w:b/>
                <w:sz w:val="22"/>
                <w:szCs w:val="22"/>
              </w:rPr>
              <w:t>/2</w:t>
            </w:r>
            <w:r w:rsidR="002F1537" w:rsidRPr="00AD7333">
              <w:rPr>
                <w:rFonts w:cstheme="minorHAnsi"/>
                <w:b/>
                <w:sz w:val="22"/>
                <w:szCs w:val="22"/>
              </w:rPr>
              <w:t>2</w:t>
            </w:r>
          </w:p>
        </w:tc>
        <w:tc>
          <w:tcPr>
            <w:tcW w:w="4233" w:type="pct"/>
          </w:tcPr>
          <w:p w14:paraId="33B120D3" w14:textId="77777777" w:rsidR="0020685E" w:rsidRPr="00AD7333" w:rsidRDefault="0020685E" w:rsidP="00AD7333">
            <w:pPr>
              <w:jc w:val="both"/>
              <w:rPr>
                <w:rFonts w:cstheme="minorHAnsi"/>
                <w:b/>
                <w:sz w:val="22"/>
                <w:szCs w:val="22"/>
              </w:rPr>
            </w:pPr>
            <w:r w:rsidRPr="00AD7333">
              <w:rPr>
                <w:rFonts w:cstheme="minorHAnsi"/>
                <w:b/>
                <w:sz w:val="22"/>
                <w:szCs w:val="22"/>
              </w:rPr>
              <w:t>Matters Arising from the Minutes</w:t>
            </w:r>
          </w:p>
          <w:p w14:paraId="4BD56D75" w14:textId="217EB669" w:rsidR="002F1537" w:rsidRPr="00AD7333" w:rsidRDefault="002F1537" w:rsidP="00AD7333">
            <w:pPr>
              <w:jc w:val="both"/>
              <w:rPr>
                <w:rFonts w:cstheme="minorHAnsi"/>
                <w:b/>
                <w:sz w:val="22"/>
                <w:szCs w:val="22"/>
              </w:rPr>
            </w:pPr>
          </w:p>
          <w:p w14:paraId="30E361D8" w14:textId="77777777" w:rsidR="002F1537" w:rsidRPr="00AD7333" w:rsidRDefault="000261DC" w:rsidP="00AD7333">
            <w:pPr>
              <w:jc w:val="both"/>
              <w:rPr>
                <w:rFonts w:cstheme="minorHAnsi"/>
                <w:b/>
                <w:sz w:val="22"/>
                <w:szCs w:val="22"/>
              </w:rPr>
            </w:pPr>
            <w:r w:rsidRPr="00AD7333">
              <w:rPr>
                <w:rFonts w:cstheme="minorHAnsi"/>
                <w:b/>
                <w:sz w:val="22"/>
                <w:szCs w:val="22"/>
              </w:rPr>
              <w:t xml:space="preserve">There were no matters </w:t>
            </w:r>
            <w:r w:rsidR="00AC4646" w:rsidRPr="00AD7333">
              <w:rPr>
                <w:rFonts w:cstheme="minorHAnsi"/>
                <w:b/>
                <w:sz w:val="22"/>
                <w:szCs w:val="22"/>
              </w:rPr>
              <w:t xml:space="preserve">raised by members </w:t>
            </w:r>
            <w:r w:rsidRPr="00AD7333">
              <w:rPr>
                <w:rFonts w:cstheme="minorHAnsi"/>
                <w:b/>
                <w:sz w:val="22"/>
                <w:szCs w:val="22"/>
              </w:rPr>
              <w:t xml:space="preserve">arising </w:t>
            </w:r>
            <w:r w:rsidR="00AC4646" w:rsidRPr="00AD7333">
              <w:rPr>
                <w:rFonts w:cstheme="minorHAnsi"/>
                <w:b/>
                <w:sz w:val="22"/>
                <w:szCs w:val="22"/>
              </w:rPr>
              <w:t xml:space="preserve">from the minutes </w:t>
            </w:r>
            <w:r w:rsidRPr="00AD7333">
              <w:rPr>
                <w:rFonts w:cstheme="minorHAnsi"/>
                <w:b/>
                <w:sz w:val="22"/>
                <w:szCs w:val="22"/>
              </w:rPr>
              <w:t xml:space="preserve">that were not </w:t>
            </w:r>
            <w:r w:rsidR="004768F3" w:rsidRPr="00AD7333">
              <w:rPr>
                <w:rFonts w:cstheme="minorHAnsi"/>
                <w:b/>
                <w:sz w:val="22"/>
                <w:szCs w:val="22"/>
              </w:rPr>
              <w:t>on the agenda for the meeting.</w:t>
            </w:r>
          </w:p>
          <w:p w14:paraId="2CFEA4ED" w14:textId="5C4A7E7D" w:rsidR="006F115A" w:rsidRPr="00AD7333" w:rsidRDefault="006F115A" w:rsidP="00AD7333">
            <w:pPr>
              <w:jc w:val="both"/>
              <w:rPr>
                <w:rFonts w:cstheme="minorHAnsi"/>
                <w:b/>
                <w:sz w:val="22"/>
                <w:szCs w:val="22"/>
              </w:rPr>
            </w:pPr>
          </w:p>
        </w:tc>
      </w:tr>
      <w:tr w:rsidR="0020685E" w:rsidRPr="00AD7333" w14:paraId="71B8EDFC" w14:textId="77777777" w:rsidTr="00AD7333">
        <w:tc>
          <w:tcPr>
            <w:tcW w:w="767" w:type="pct"/>
          </w:tcPr>
          <w:p w14:paraId="0F3F8CD5" w14:textId="6B55F40E" w:rsidR="0020685E" w:rsidRPr="00AD7333" w:rsidRDefault="002F1537" w:rsidP="00AD7333">
            <w:pPr>
              <w:jc w:val="both"/>
              <w:rPr>
                <w:rFonts w:cstheme="minorHAnsi"/>
                <w:b/>
                <w:sz w:val="22"/>
                <w:szCs w:val="22"/>
              </w:rPr>
            </w:pPr>
            <w:r w:rsidRPr="00AD7333">
              <w:rPr>
                <w:rFonts w:cstheme="minorHAnsi"/>
                <w:b/>
                <w:sz w:val="22"/>
                <w:szCs w:val="22"/>
              </w:rPr>
              <w:t>RES/05/22</w:t>
            </w:r>
          </w:p>
        </w:tc>
        <w:tc>
          <w:tcPr>
            <w:tcW w:w="4233" w:type="pct"/>
          </w:tcPr>
          <w:p w14:paraId="1EA017BD" w14:textId="77777777" w:rsidR="0081553C" w:rsidRPr="00AD7333" w:rsidRDefault="002F1537" w:rsidP="00AD7333">
            <w:pPr>
              <w:jc w:val="both"/>
              <w:rPr>
                <w:rFonts w:cstheme="minorHAnsi"/>
                <w:bCs/>
                <w:sz w:val="22"/>
                <w:szCs w:val="22"/>
              </w:rPr>
            </w:pPr>
            <w:r w:rsidRPr="00AD7333">
              <w:rPr>
                <w:rFonts w:cstheme="minorHAnsi"/>
                <w:b/>
                <w:sz w:val="22"/>
                <w:szCs w:val="22"/>
              </w:rPr>
              <w:t>Learner Numbers and Funding 2021/2022 Update</w:t>
            </w:r>
          </w:p>
          <w:p w14:paraId="7A0DD965" w14:textId="66AC7B8D" w:rsidR="002F1537" w:rsidRPr="00AD7333" w:rsidRDefault="002F1537" w:rsidP="00AD7333">
            <w:pPr>
              <w:jc w:val="both"/>
              <w:rPr>
                <w:rFonts w:cstheme="minorHAnsi"/>
                <w:bCs/>
                <w:sz w:val="22"/>
                <w:szCs w:val="22"/>
              </w:rPr>
            </w:pPr>
          </w:p>
          <w:p w14:paraId="145A5369" w14:textId="77777777" w:rsidR="00AC4646" w:rsidRPr="00AD7333" w:rsidRDefault="00AC4646" w:rsidP="00AD7333">
            <w:pPr>
              <w:jc w:val="both"/>
              <w:rPr>
                <w:rFonts w:cstheme="minorHAnsi"/>
                <w:bCs/>
                <w:sz w:val="22"/>
                <w:szCs w:val="22"/>
              </w:rPr>
            </w:pPr>
            <w:r w:rsidRPr="00AD7333">
              <w:rPr>
                <w:rFonts w:cstheme="minorHAnsi"/>
                <w:bCs/>
                <w:sz w:val="22"/>
                <w:szCs w:val="22"/>
              </w:rPr>
              <w:lastRenderedPageBreak/>
              <w:t>The Assistant Principal Funding Performance and Planning (APFPP) referred members to the previously circulated papers and a summary update in relation to the current and expected year end position for recruitment in relation to student numbers and funding.</w:t>
            </w:r>
          </w:p>
          <w:p w14:paraId="4DBD2E4C" w14:textId="1117ACAC" w:rsidR="004768F3" w:rsidRPr="00AD7333" w:rsidRDefault="004768F3" w:rsidP="00AD7333">
            <w:pPr>
              <w:jc w:val="both"/>
              <w:rPr>
                <w:rFonts w:cstheme="minorHAnsi"/>
                <w:bCs/>
                <w:sz w:val="22"/>
                <w:szCs w:val="22"/>
              </w:rPr>
            </w:pPr>
            <w:r w:rsidRPr="00AD7333">
              <w:rPr>
                <w:rFonts w:cstheme="minorHAnsi"/>
                <w:bCs/>
                <w:sz w:val="22"/>
                <w:szCs w:val="22"/>
              </w:rPr>
              <w:t>The APFPP highlighted the following key issues:</w:t>
            </w:r>
          </w:p>
          <w:p w14:paraId="5447E9E5" w14:textId="65E4E4DC" w:rsidR="004768F3" w:rsidRPr="00AD7333" w:rsidRDefault="004768F3" w:rsidP="00AD7333">
            <w:pPr>
              <w:jc w:val="both"/>
              <w:rPr>
                <w:rFonts w:cstheme="minorHAnsi"/>
                <w:bCs/>
                <w:sz w:val="22"/>
                <w:szCs w:val="22"/>
              </w:rPr>
            </w:pPr>
          </w:p>
          <w:p w14:paraId="192CB0A1" w14:textId="33399670" w:rsidR="004768F3" w:rsidRPr="00AD7333" w:rsidRDefault="00FC4EB5" w:rsidP="00477AC2">
            <w:pPr>
              <w:pStyle w:val="ListParagraph"/>
              <w:numPr>
                <w:ilvl w:val="0"/>
                <w:numId w:val="1"/>
              </w:numPr>
              <w:jc w:val="both"/>
              <w:rPr>
                <w:rFonts w:cstheme="minorHAnsi"/>
                <w:bCs/>
                <w:sz w:val="22"/>
                <w:szCs w:val="22"/>
              </w:rPr>
            </w:pPr>
            <w:r w:rsidRPr="00AD7333">
              <w:rPr>
                <w:rFonts w:cstheme="minorHAnsi"/>
                <w:bCs/>
                <w:sz w:val="22"/>
                <w:szCs w:val="22"/>
              </w:rPr>
              <w:t>A</w:t>
            </w:r>
            <w:r w:rsidR="004768F3" w:rsidRPr="00AD7333">
              <w:rPr>
                <w:rFonts w:cstheme="minorHAnsi"/>
                <w:bCs/>
                <w:sz w:val="22"/>
                <w:szCs w:val="22"/>
              </w:rPr>
              <w:t xml:space="preserve"> significant increase in 16-19 ESFA funded learner numbers for which an in-year business case had been submitted arising from which there had been an allocation increase to 5,406 and additional in-year programme funding of £1,033,624</w:t>
            </w:r>
            <w:r w:rsidR="0080638C" w:rsidRPr="00AD7333">
              <w:rPr>
                <w:rFonts w:cstheme="minorHAnsi"/>
                <w:bCs/>
                <w:sz w:val="22"/>
                <w:szCs w:val="22"/>
              </w:rPr>
              <w:t>.  It was further advised that the current actual enrolment number was 5,588</w:t>
            </w:r>
            <w:r w:rsidRPr="00AD7333">
              <w:rPr>
                <w:rFonts w:cstheme="minorHAnsi"/>
                <w:bCs/>
                <w:sz w:val="22"/>
                <w:szCs w:val="22"/>
              </w:rPr>
              <w:t>.</w:t>
            </w:r>
          </w:p>
          <w:p w14:paraId="7B003E51" w14:textId="2C865571" w:rsidR="004768F3" w:rsidRPr="00AD7333" w:rsidRDefault="00FC4EB5" w:rsidP="00477AC2">
            <w:pPr>
              <w:pStyle w:val="ListParagraph"/>
              <w:numPr>
                <w:ilvl w:val="0"/>
                <w:numId w:val="1"/>
              </w:numPr>
              <w:jc w:val="both"/>
              <w:rPr>
                <w:rFonts w:cstheme="minorHAnsi"/>
                <w:bCs/>
                <w:sz w:val="22"/>
                <w:szCs w:val="22"/>
              </w:rPr>
            </w:pPr>
            <w:r w:rsidRPr="00AD7333">
              <w:rPr>
                <w:rFonts w:cstheme="minorHAnsi"/>
                <w:bCs/>
                <w:sz w:val="22"/>
                <w:szCs w:val="22"/>
              </w:rPr>
              <w:t>I</w:t>
            </w:r>
            <w:r w:rsidR="004768F3" w:rsidRPr="00AD7333">
              <w:rPr>
                <w:rFonts w:cstheme="minorHAnsi"/>
                <w:bCs/>
                <w:sz w:val="22"/>
                <w:szCs w:val="22"/>
              </w:rPr>
              <w:t xml:space="preserve">n relation to adult </w:t>
            </w:r>
            <w:r w:rsidR="007052DB" w:rsidRPr="00AD7333">
              <w:rPr>
                <w:rFonts w:cstheme="minorHAnsi"/>
                <w:bCs/>
                <w:sz w:val="22"/>
                <w:szCs w:val="22"/>
              </w:rPr>
              <w:t>(AEB) and ESFA Non-devolved Areas</w:t>
            </w:r>
            <w:r w:rsidRPr="00AD7333">
              <w:rPr>
                <w:rFonts w:cstheme="minorHAnsi"/>
                <w:bCs/>
                <w:sz w:val="22"/>
                <w:szCs w:val="22"/>
              </w:rPr>
              <w:t xml:space="preserve"> (allocation of £526k against a current expected outturn of £444k)</w:t>
            </w:r>
            <w:r w:rsidR="007052DB" w:rsidRPr="00AD7333">
              <w:rPr>
                <w:rFonts w:cstheme="minorHAnsi"/>
                <w:bCs/>
                <w:sz w:val="22"/>
                <w:szCs w:val="22"/>
              </w:rPr>
              <w:t xml:space="preserve">, an area of slight risk, </w:t>
            </w:r>
            <w:r w:rsidR="00186B98" w:rsidRPr="00AD7333">
              <w:rPr>
                <w:rFonts w:cstheme="minorHAnsi"/>
                <w:bCs/>
                <w:sz w:val="22"/>
                <w:szCs w:val="22"/>
              </w:rPr>
              <w:t xml:space="preserve">for which </w:t>
            </w:r>
            <w:r w:rsidR="007052DB" w:rsidRPr="00AD7333">
              <w:rPr>
                <w:rFonts w:cstheme="minorHAnsi"/>
                <w:bCs/>
                <w:sz w:val="22"/>
                <w:szCs w:val="22"/>
              </w:rPr>
              <w:t>there were plans for additional enrolments particular in the areas of trade union and distance learning</w:t>
            </w:r>
            <w:r w:rsidRPr="00AD7333">
              <w:rPr>
                <w:rFonts w:cstheme="minorHAnsi"/>
                <w:bCs/>
                <w:sz w:val="22"/>
                <w:szCs w:val="22"/>
              </w:rPr>
              <w:t>.</w:t>
            </w:r>
          </w:p>
          <w:p w14:paraId="77F5AD5C" w14:textId="55792BBF" w:rsidR="0080638C" w:rsidRPr="00AD7333" w:rsidRDefault="00FC4EB5" w:rsidP="00477AC2">
            <w:pPr>
              <w:pStyle w:val="ListParagraph"/>
              <w:numPr>
                <w:ilvl w:val="0"/>
                <w:numId w:val="1"/>
              </w:numPr>
              <w:jc w:val="both"/>
              <w:rPr>
                <w:rFonts w:cstheme="minorHAnsi"/>
                <w:bCs/>
                <w:sz w:val="22"/>
                <w:szCs w:val="22"/>
              </w:rPr>
            </w:pPr>
            <w:r w:rsidRPr="00AD7333">
              <w:rPr>
                <w:rFonts w:cstheme="minorHAnsi"/>
                <w:bCs/>
                <w:sz w:val="22"/>
                <w:szCs w:val="22"/>
              </w:rPr>
              <w:t xml:space="preserve">For the </w:t>
            </w:r>
            <w:r w:rsidR="0080638C" w:rsidRPr="00AD7333">
              <w:rPr>
                <w:rFonts w:cstheme="minorHAnsi"/>
                <w:bCs/>
                <w:sz w:val="22"/>
                <w:szCs w:val="22"/>
              </w:rPr>
              <w:t>National Skills Fund it was advised that the target was £105k and that Group had achieved £165k and that there was no risk to income</w:t>
            </w:r>
            <w:r w:rsidRPr="00AD7333">
              <w:rPr>
                <w:rFonts w:cstheme="minorHAnsi"/>
                <w:bCs/>
                <w:sz w:val="22"/>
                <w:szCs w:val="22"/>
              </w:rPr>
              <w:t>.</w:t>
            </w:r>
          </w:p>
          <w:p w14:paraId="7C8B5182" w14:textId="79FDBDA2" w:rsidR="007052DB" w:rsidRPr="00AD7333" w:rsidRDefault="00FC4EB5" w:rsidP="00477AC2">
            <w:pPr>
              <w:pStyle w:val="ListParagraph"/>
              <w:numPr>
                <w:ilvl w:val="0"/>
                <w:numId w:val="1"/>
              </w:numPr>
              <w:jc w:val="both"/>
              <w:rPr>
                <w:rFonts w:cstheme="minorHAnsi"/>
                <w:bCs/>
                <w:sz w:val="22"/>
                <w:szCs w:val="22"/>
              </w:rPr>
            </w:pPr>
            <w:r w:rsidRPr="00AD7333">
              <w:rPr>
                <w:rFonts w:cstheme="minorHAnsi"/>
                <w:bCs/>
                <w:sz w:val="22"/>
                <w:szCs w:val="22"/>
              </w:rPr>
              <w:t xml:space="preserve">In respect of </w:t>
            </w:r>
            <w:r w:rsidR="007052DB" w:rsidRPr="00AD7333">
              <w:rPr>
                <w:rFonts w:cstheme="minorHAnsi"/>
                <w:bCs/>
                <w:sz w:val="22"/>
                <w:szCs w:val="22"/>
              </w:rPr>
              <w:t xml:space="preserve">AEB GMCA funded provision the Group was in receipt of an allocation of £5,867,989 </w:t>
            </w:r>
            <w:r w:rsidR="00186B98" w:rsidRPr="00AD7333">
              <w:rPr>
                <w:rFonts w:cstheme="minorHAnsi"/>
                <w:bCs/>
                <w:sz w:val="22"/>
                <w:szCs w:val="22"/>
              </w:rPr>
              <w:t xml:space="preserve">against a </w:t>
            </w:r>
            <w:r w:rsidR="007052DB" w:rsidRPr="00AD7333">
              <w:rPr>
                <w:rFonts w:cstheme="minorHAnsi"/>
                <w:bCs/>
                <w:sz w:val="22"/>
                <w:szCs w:val="22"/>
              </w:rPr>
              <w:t>current expected o</w:t>
            </w:r>
            <w:r w:rsidR="00311AC8" w:rsidRPr="00AD7333">
              <w:rPr>
                <w:rFonts w:cstheme="minorHAnsi"/>
                <w:bCs/>
                <w:sz w:val="22"/>
                <w:szCs w:val="22"/>
              </w:rPr>
              <w:t>u</w:t>
            </w:r>
            <w:r w:rsidR="007052DB" w:rsidRPr="00AD7333">
              <w:rPr>
                <w:rFonts w:cstheme="minorHAnsi"/>
                <w:bCs/>
                <w:sz w:val="22"/>
                <w:szCs w:val="22"/>
              </w:rPr>
              <w:t xml:space="preserve">tturn was </w:t>
            </w:r>
            <w:r w:rsidR="00311AC8" w:rsidRPr="00AD7333">
              <w:rPr>
                <w:rFonts w:cstheme="minorHAnsi"/>
                <w:bCs/>
                <w:sz w:val="22"/>
                <w:szCs w:val="22"/>
              </w:rPr>
              <w:t>£</w:t>
            </w:r>
            <w:r w:rsidR="007052DB" w:rsidRPr="00AD7333">
              <w:rPr>
                <w:rFonts w:cstheme="minorHAnsi"/>
                <w:bCs/>
                <w:sz w:val="22"/>
                <w:szCs w:val="22"/>
              </w:rPr>
              <w:t>5,267,</w:t>
            </w:r>
            <w:r w:rsidR="00311AC8" w:rsidRPr="00AD7333">
              <w:rPr>
                <w:rFonts w:cstheme="minorHAnsi"/>
                <w:bCs/>
                <w:sz w:val="22"/>
                <w:szCs w:val="22"/>
              </w:rPr>
              <w:t>989, a shortfall of £600k, and for which a recovery plan was currently being produced to ensure the shortfall was recovered</w:t>
            </w:r>
            <w:r w:rsidRPr="00AD7333">
              <w:rPr>
                <w:rFonts w:cstheme="minorHAnsi"/>
                <w:bCs/>
                <w:sz w:val="22"/>
                <w:szCs w:val="22"/>
              </w:rPr>
              <w:t xml:space="preserve">.  It was advised that the </w:t>
            </w:r>
            <w:r w:rsidR="0080638C" w:rsidRPr="00AD7333">
              <w:rPr>
                <w:rFonts w:cstheme="minorHAnsi"/>
                <w:bCs/>
                <w:sz w:val="22"/>
                <w:szCs w:val="22"/>
              </w:rPr>
              <w:t xml:space="preserve">recovery plan was to increase </w:t>
            </w:r>
            <w:r w:rsidR="00C52972" w:rsidRPr="00AD7333">
              <w:rPr>
                <w:rFonts w:cstheme="minorHAnsi"/>
                <w:bCs/>
                <w:sz w:val="22"/>
                <w:szCs w:val="22"/>
              </w:rPr>
              <w:t>subcontracting for IT/Cyber Security</w:t>
            </w:r>
            <w:r w:rsidRPr="00AD7333">
              <w:rPr>
                <w:rFonts w:cstheme="minorHAnsi"/>
                <w:bCs/>
                <w:sz w:val="22"/>
                <w:szCs w:val="22"/>
              </w:rPr>
              <w:t>.</w:t>
            </w:r>
          </w:p>
          <w:p w14:paraId="5FA65C5D" w14:textId="20E3DE0F" w:rsidR="00311AC8" w:rsidRPr="00AD7333" w:rsidRDefault="00144043" w:rsidP="00477AC2">
            <w:pPr>
              <w:pStyle w:val="ListParagraph"/>
              <w:numPr>
                <w:ilvl w:val="0"/>
                <w:numId w:val="1"/>
              </w:numPr>
              <w:jc w:val="both"/>
              <w:rPr>
                <w:rFonts w:cstheme="minorHAnsi"/>
                <w:bCs/>
                <w:sz w:val="22"/>
                <w:szCs w:val="22"/>
              </w:rPr>
            </w:pPr>
            <w:r w:rsidRPr="00AD7333">
              <w:rPr>
                <w:rFonts w:cstheme="minorHAnsi"/>
                <w:bCs/>
                <w:sz w:val="22"/>
                <w:szCs w:val="22"/>
              </w:rPr>
              <w:t>I</w:t>
            </w:r>
            <w:r w:rsidR="00311AC8" w:rsidRPr="00AD7333">
              <w:rPr>
                <w:rFonts w:cstheme="minorHAnsi"/>
                <w:bCs/>
                <w:sz w:val="22"/>
                <w:szCs w:val="22"/>
              </w:rPr>
              <w:t>n terms of apprenticeships the Group had a budget plan of £3,805,806 against which £3,477,920 was expected to</w:t>
            </w:r>
            <w:r w:rsidR="00780FEB" w:rsidRPr="00AD7333">
              <w:rPr>
                <w:rFonts w:cstheme="minorHAnsi"/>
                <w:bCs/>
                <w:sz w:val="22"/>
                <w:szCs w:val="22"/>
              </w:rPr>
              <w:t xml:space="preserve"> </w:t>
            </w:r>
            <w:r w:rsidR="00311AC8" w:rsidRPr="00AD7333">
              <w:rPr>
                <w:rFonts w:cstheme="minorHAnsi"/>
                <w:bCs/>
                <w:sz w:val="22"/>
                <w:szCs w:val="22"/>
              </w:rPr>
              <w:t>be achieved at year end and for which plans were in place to address areas of under recruitment</w:t>
            </w:r>
            <w:r w:rsidRPr="00AD7333">
              <w:rPr>
                <w:rFonts w:cstheme="minorHAnsi"/>
                <w:bCs/>
                <w:sz w:val="22"/>
                <w:szCs w:val="22"/>
              </w:rPr>
              <w:t>.</w:t>
            </w:r>
            <w:r w:rsidR="00311AC8" w:rsidRPr="00AD7333">
              <w:rPr>
                <w:rFonts w:cstheme="minorHAnsi"/>
                <w:bCs/>
                <w:sz w:val="22"/>
                <w:szCs w:val="22"/>
              </w:rPr>
              <w:t xml:space="preserve"> </w:t>
            </w:r>
          </w:p>
          <w:p w14:paraId="2E34CB3C" w14:textId="5BF6F89D" w:rsidR="00311AC8" w:rsidRPr="00AD7333" w:rsidRDefault="00144043" w:rsidP="00477AC2">
            <w:pPr>
              <w:pStyle w:val="ListParagraph"/>
              <w:numPr>
                <w:ilvl w:val="0"/>
                <w:numId w:val="1"/>
              </w:numPr>
              <w:jc w:val="both"/>
              <w:rPr>
                <w:rFonts w:cstheme="minorHAnsi"/>
                <w:bCs/>
                <w:sz w:val="22"/>
                <w:szCs w:val="22"/>
              </w:rPr>
            </w:pPr>
            <w:r w:rsidRPr="00AD7333">
              <w:rPr>
                <w:rFonts w:cstheme="minorHAnsi"/>
                <w:bCs/>
                <w:sz w:val="22"/>
                <w:szCs w:val="22"/>
              </w:rPr>
              <w:t>A</w:t>
            </w:r>
            <w:r w:rsidR="00311AC8" w:rsidRPr="00AD7333">
              <w:rPr>
                <w:rFonts w:cstheme="minorHAnsi"/>
                <w:bCs/>
                <w:sz w:val="22"/>
                <w:szCs w:val="22"/>
              </w:rPr>
              <w:t xml:space="preserve"> mixed position was presented in relation to Higher Education (HE) where recruitment was under plan (budget of £2,294</w:t>
            </w:r>
            <w:r w:rsidR="006A4B35" w:rsidRPr="00AD7333">
              <w:rPr>
                <w:rFonts w:cstheme="minorHAnsi"/>
                <w:bCs/>
                <w:sz w:val="22"/>
                <w:szCs w:val="22"/>
              </w:rPr>
              <w:t xml:space="preserve">,004 with an expected end of year position of £2,170,618). </w:t>
            </w:r>
          </w:p>
          <w:p w14:paraId="58C7341D" w14:textId="77777777" w:rsidR="00AC4646" w:rsidRPr="00AD7333" w:rsidRDefault="00AC4646" w:rsidP="00AD7333">
            <w:pPr>
              <w:jc w:val="both"/>
              <w:rPr>
                <w:rFonts w:cstheme="minorHAnsi"/>
                <w:bCs/>
                <w:sz w:val="22"/>
                <w:szCs w:val="22"/>
              </w:rPr>
            </w:pPr>
          </w:p>
          <w:p w14:paraId="65FACF74" w14:textId="70247CED" w:rsidR="00EE218C" w:rsidRPr="00AD7333" w:rsidRDefault="006A4B35" w:rsidP="00AD7333">
            <w:pPr>
              <w:jc w:val="both"/>
              <w:rPr>
                <w:rFonts w:cstheme="minorHAnsi"/>
                <w:bCs/>
                <w:sz w:val="22"/>
                <w:szCs w:val="22"/>
              </w:rPr>
            </w:pPr>
            <w:r w:rsidRPr="00AD7333">
              <w:rPr>
                <w:rFonts w:cstheme="minorHAnsi"/>
                <w:bCs/>
                <w:sz w:val="22"/>
                <w:szCs w:val="22"/>
              </w:rPr>
              <w:t>Questions from members were invited.</w:t>
            </w:r>
          </w:p>
          <w:p w14:paraId="42D97567" w14:textId="2B79BA13" w:rsidR="006A4B35" w:rsidRPr="00AD7333" w:rsidRDefault="006A4B35" w:rsidP="00AD7333">
            <w:pPr>
              <w:jc w:val="both"/>
              <w:rPr>
                <w:rFonts w:cstheme="minorHAnsi"/>
                <w:bCs/>
                <w:sz w:val="22"/>
                <w:szCs w:val="22"/>
              </w:rPr>
            </w:pPr>
          </w:p>
          <w:p w14:paraId="28AE7137" w14:textId="24ED74BB" w:rsidR="006A4B35" w:rsidRPr="00AD7333" w:rsidRDefault="006A4B35" w:rsidP="00477AC2">
            <w:pPr>
              <w:pStyle w:val="ListParagraph"/>
              <w:numPr>
                <w:ilvl w:val="0"/>
                <w:numId w:val="2"/>
              </w:numPr>
              <w:ind w:left="395" w:hanging="395"/>
              <w:jc w:val="both"/>
              <w:rPr>
                <w:rFonts w:cstheme="minorHAnsi"/>
                <w:bCs/>
                <w:sz w:val="22"/>
                <w:szCs w:val="22"/>
              </w:rPr>
            </w:pPr>
            <w:r w:rsidRPr="00AD7333">
              <w:rPr>
                <w:rFonts w:cstheme="minorHAnsi"/>
                <w:bCs/>
                <w:sz w:val="22"/>
                <w:szCs w:val="22"/>
              </w:rPr>
              <w:t xml:space="preserve">A </w:t>
            </w:r>
            <w:r w:rsidR="00C52972" w:rsidRPr="00AD7333">
              <w:rPr>
                <w:rFonts w:cstheme="minorHAnsi"/>
                <w:bCs/>
                <w:sz w:val="22"/>
                <w:szCs w:val="22"/>
              </w:rPr>
              <w:t xml:space="preserve">question was asked by a member as to whether the risks to income were built into the forecasts and </w:t>
            </w:r>
            <w:r w:rsidR="001E5AD0" w:rsidRPr="00AD7333">
              <w:rPr>
                <w:rFonts w:cstheme="minorHAnsi"/>
                <w:bCs/>
                <w:sz w:val="22"/>
                <w:szCs w:val="22"/>
              </w:rPr>
              <w:t xml:space="preserve">commented </w:t>
            </w:r>
            <w:r w:rsidR="00C52972" w:rsidRPr="00AD7333">
              <w:rPr>
                <w:rFonts w:cstheme="minorHAnsi"/>
                <w:bCs/>
                <w:sz w:val="22"/>
                <w:szCs w:val="22"/>
              </w:rPr>
              <w:t xml:space="preserve">that generally the picture was as positive one. </w:t>
            </w:r>
          </w:p>
          <w:p w14:paraId="477A2188" w14:textId="77777777" w:rsidR="00C52972" w:rsidRPr="00AD7333" w:rsidRDefault="00C52972" w:rsidP="00AD7333">
            <w:pPr>
              <w:jc w:val="both"/>
              <w:rPr>
                <w:rFonts w:cstheme="minorHAnsi"/>
                <w:bCs/>
                <w:sz w:val="22"/>
                <w:szCs w:val="22"/>
              </w:rPr>
            </w:pPr>
          </w:p>
          <w:p w14:paraId="604B7828" w14:textId="19C98D49" w:rsidR="006A4B35" w:rsidRPr="00AD7333" w:rsidRDefault="006A4B35" w:rsidP="00AD7333">
            <w:pPr>
              <w:jc w:val="both"/>
              <w:rPr>
                <w:rFonts w:cstheme="minorHAnsi"/>
                <w:bCs/>
                <w:sz w:val="22"/>
                <w:szCs w:val="22"/>
              </w:rPr>
            </w:pPr>
            <w:r w:rsidRPr="00AD7333">
              <w:rPr>
                <w:rFonts w:cstheme="minorHAnsi"/>
                <w:bCs/>
                <w:sz w:val="22"/>
                <w:szCs w:val="22"/>
              </w:rPr>
              <w:t>There was confirmation that comprehensive plans were in place and that additional reporting would take place later in the meeting as part of the Management Accounts reporting.</w:t>
            </w:r>
          </w:p>
          <w:p w14:paraId="643DD7D3" w14:textId="338D9D3C" w:rsidR="006A4B35" w:rsidRPr="00AD7333" w:rsidRDefault="006A4B35" w:rsidP="00AD7333">
            <w:pPr>
              <w:jc w:val="both"/>
              <w:rPr>
                <w:rFonts w:cstheme="minorHAnsi"/>
                <w:bCs/>
                <w:sz w:val="22"/>
                <w:szCs w:val="22"/>
              </w:rPr>
            </w:pPr>
          </w:p>
          <w:p w14:paraId="5AD5C9A2" w14:textId="04E93F5E" w:rsidR="006A4B35" w:rsidRPr="00AD7333" w:rsidRDefault="006A4B35" w:rsidP="00AD7333">
            <w:pPr>
              <w:jc w:val="both"/>
              <w:rPr>
                <w:rFonts w:cstheme="minorHAnsi"/>
                <w:b/>
                <w:sz w:val="22"/>
                <w:szCs w:val="22"/>
              </w:rPr>
            </w:pPr>
            <w:r w:rsidRPr="00AD7333">
              <w:rPr>
                <w:rFonts w:cstheme="minorHAnsi"/>
                <w:b/>
                <w:sz w:val="22"/>
                <w:szCs w:val="22"/>
              </w:rPr>
              <w:t xml:space="preserve">There were no further questions or issues raised by members and following due consideration it was resolved that the Learner Numbers and Funding 2021/2022 update </w:t>
            </w:r>
            <w:r w:rsidR="00780FEB" w:rsidRPr="00AD7333">
              <w:rPr>
                <w:rFonts w:cstheme="minorHAnsi"/>
                <w:b/>
                <w:sz w:val="22"/>
                <w:szCs w:val="22"/>
              </w:rPr>
              <w:t xml:space="preserve">report </w:t>
            </w:r>
            <w:r w:rsidRPr="00AD7333">
              <w:rPr>
                <w:rFonts w:cstheme="minorHAnsi"/>
                <w:b/>
                <w:sz w:val="22"/>
                <w:szCs w:val="22"/>
              </w:rPr>
              <w:t>be received and noted.</w:t>
            </w:r>
          </w:p>
          <w:p w14:paraId="140A7F0E" w14:textId="7EBB7F41" w:rsidR="002F1537" w:rsidRPr="00AD7333" w:rsidRDefault="002F1537" w:rsidP="00AD7333">
            <w:pPr>
              <w:jc w:val="both"/>
              <w:rPr>
                <w:rFonts w:cstheme="minorHAnsi"/>
                <w:bCs/>
                <w:sz w:val="22"/>
                <w:szCs w:val="22"/>
              </w:rPr>
            </w:pPr>
          </w:p>
        </w:tc>
      </w:tr>
      <w:tr w:rsidR="0020685E" w:rsidRPr="00AD7333" w14:paraId="7862B506" w14:textId="77777777" w:rsidTr="00AD7333">
        <w:tc>
          <w:tcPr>
            <w:tcW w:w="767" w:type="pct"/>
          </w:tcPr>
          <w:p w14:paraId="5E8EDBB3" w14:textId="6A2AC609" w:rsidR="002F1537" w:rsidRPr="00AD7333" w:rsidRDefault="002F1537" w:rsidP="00AD7333">
            <w:pPr>
              <w:jc w:val="both"/>
              <w:rPr>
                <w:rFonts w:cstheme="minorHAnsi"/>
                <w:b/>
                <w:sz w:val="22"/>
                <w:szCs w:val="22"/>
              </w:rPr>
            </w:pPr>
            <w:r w:rsidRPr="00AD7333">
              <w:rPr>
                <w:rFonts w:cstheme="minorHAnsi"/>
                <w:b/>
                <w:sz w:val="22"/>
                <w:szCs w:val="22"/>
              </w:rPr>
              <w:lastRenderedPageBreak/>
              <w:t>RES/06/22</w:t>
            </w:r>
          </w:p>
        </w:tc>
        <w:tc>
          <w:tcPr>
            <w:tcW w:w="4233" w:type="pct"/>
          </w:tcPr>
          <w:p w14:paraId="167750F0" w14:textId="6512A580" w:rsidR="008004F6" w:rsidRPr="00AD7333" w:rsidRDefault="002F1537" w:rsidP="00AD7333">
            <w:pPr>
              <w:jc w:val="both"/>
              <w:rPr>
                <w:rFonts w:cstheme="minorHAnsi"/>
                <w:sz w:val="22"/>
                <w:szCs w:val="22"/>
              </w:rPr>
            </w:pPr>
            <w:r w:rsidRPr="00AD7333">
              <w:rPr>
                <w:rFonts w:cstheme="minorHAnsi"/>
                <w:b/>
                <w:bCs/>
                <w:sz w:val="22"/>
                <w:szCs w:val="22"/>
              </w:rPr>
              <w:t>Partner Subcontracting Activities Mid-Year 2021-2022 Update</w:t>
            </w:r>
          </w:p>
          <w:p w14:paraId="1F2F9909" w14:textId="1E9B6B40" w:rsidR="002F1537" w:rsidRPr="00AD7333" w:rsidRDefault="002F1537" w:rsidP="00AD7333">
            <w:pPr>
              <w:jc w:val="both"/>
              <w:rPr>
                <w:rFonts w:cstheme="minorHAnsi"/>
                <w:sz w:val="22"/>
                <w:szCs w:val="22"/>
              </w:rPr>
            </w:pPr>
          </w:p>
          <w:p w14:paraId="4B6E3869" w14:textId="272E8C3F" w:rsidR="00236457" w:rsidRPr="00AD7333" w:rsidRDefault="00236457" w:rsidP="00AD7333">
            <w:pPr>
              <w:jc w:val="both"/>
              <w:rPr>
                <w:rFonts w:cstheme="minorHAnsi"/>
                <w:sz w:val="22"/>
                <w:szCs w:val="22"/>
              </w:rPr>
            </w:pPr>
            <w:r w:rsidRPr="00AD7333">
              <w:rPr>
                <w:rFonts w:cstheme="minorHAnsi"/>
                <w:sz w:val="22"/>
                <w:szCs w:val="22"/>
              </w:rPr>
              <w:t>The Director of Finance (DF) referred members to the previously circulated mid-year update report for 2021/2022 in relation to partner sub-contracting activity.</w:t>
            </w:r>
          </w:p>
          <w:p w14:paraId="3FC7103F" w14:textId="52C7260A" w:rsidR="00236457" w:rsidRPr="00AD7333" w:rsidRDefault="00236457" w:rsidP="00AD7333">
            <w:pPr>
              <w:jc w:val="both"/>
              <w:rPr>
                <w:rFonts w:cstheme="minorHAnsi"/>
                <w:sz w:val="22"/>
                <w:szCs w:val="22"/>
              </w:rPr>
            </w:pPr>
          </w:p>
          <w:p w14:paraId="3D0B2FB7" w14:textId="1A682B38" w:rsidR="00236457" w:rsidRPr="00AD7333" w:rsidRDefault="00236457" w:rsidP="00AD7333">
            <w:pPr>
              <w:jc w:val="both"/>
              <w:rPr>
                <w:rFonts w:cstheme="minorHAnsi"/>
                <w:sz w:val="22"/>
                <w:szCs w:val="22"/>
              </w:rPr>
            </w:pPr>
            <w:r w:rsidRPr="00AD7333">
              <w:rPr>
                <w:rFonts w:cstheme="minorHAnsi"/>
                <w:sz w:val="22"/>
                <w:szCs w:val="22"/>
              </w:rPr>
              <w:t>Members were reminded that they</w:t>
            </w:r>
            <w:r w:rsidR="00780FEB" w:rsidRPr="00AD7333">
              <w:rPr>
                <w:rFonts w:cstheme="minorHAnsi"/>
                <w:sz w:val="22"/>
                <w:szCs w:val="22"/>
              </w:rPr>
              <w:t xml:space="preserve"> had</w:t>
            </w:r>
            <w:r w:rsidRPr="00AD7333">
              <w:rPr>
                <w:rFonts w:cstheme="minorHAnsi"/>
                <w:sz w:val="22"/>
                <w:szCs w:val="22"/>
              </w:rPr>
              <w:t xml:space="preserve"> last received an update on recruitment in November 2021.  There was confirmation that the main area of sub-contracted activity related to 16-19 provision with only a small amount relating to adults.</w:t>
            </w:r>
          </w:p>
          <w:p w14:paraId="15D0B47C" w14:textId="02A8C3FB" w:rsidR="00236457" w:rsidRPr="00AD7333" w:rsidRDefault="00236457" w:rsidP="00AD7333">
            <w:pPr>
              <w:jc w:val="both"/>
              <w:rPr>
                <w:rFonts w:cstheme="minorHAnsi"/>
                <w:sz w:val="22"/>
                <w:szCs w:val="22"/>
              </w:rPr>
            </w:pPr>
          </w:p>
          <w:p w14:paraId="46615986" w14:textId="77777777" w:rsidR="00313299" w:rsidRPr="00AD7333" w:rsidRDefault="00236457" w:rsidP="00AD7333">
            <w:pPr>
              <w:jc w:val="both"/>
              <w:rPr>
                <w:rFonts w:cstheme="minorHAnsi"/>
                <w:sz w:val="22"/>
                <w:szCs w:val="22"/>
              </w:rPr>
            </w:pPr>
            <w:r w:rsidRPr="00AD7333">
              <w:rPr>
                <w:rFonts w:cstheme="minorHAnsi"/>
                <w:sz w:val="22"/>
                <w:szCs w:val="22"/>
              </w:rPr>
              <w:lastRenderedPageBreak/>
              <w:t xml:space="preserve">The DF reported that </w:t>
            </w:r>
            <w:r w:rsidR="00313299" w:rsidRPr="00AD7333">
              <w:rPr>
                <w:rFonts w:cstheme="minorHAnsi"/>
                <w:sz w:val="22"/>
                <w:szCs w:val="22"/>
              </w:rPr>
              <w:t xml:space="preserve">subcontracting activity on ESFA funded study programmes for young people was continuing for Flixton Girls’ School; Carrington Riding School; Debut Academy of Performing Arts; Interactive Business Limited and Stockport County Football Club.  Assurance was provided that the subcontractors had been the subject of first term reviews from the Quality Team and learners were receiving high quality provision.  </w:t>
            </w:r>
          </w:p>
          <w:p w14:paraId="63AE5E8B" w14:textId="77777777" w:rsidR="00313299" w:rsidRPr="00AD7333" w:rsidRDefault="00313299" w:rsidP="00AD7333">
            <w:pPr>
              <w:jc w:val="both"/>
              <w:rPr>
                <w:rFonts w:cstheme="minorHAnsi"/>
                <w:sz w:val="22"/>
                <w:szCs w:val="22"/>
              </w:rPr>
            </w:pPr>
          </w:p>
          <w:p w14:paraId="1F7319E0" w14:textId="081CA6B4" w:rsidR="00236457" w:rsidRPr="00AD7333" w:rsidRDefault="00313299" w:rsidP="00AD7333">
            <w:pPr>
              <w:jc w:val="both"/>
              <w:rPr>
                <w:rFonts w:cstheme="minorHAnsi"/>
                <w:sz w:val="22"/>
                <w:szCs w:val="22"/>
              </w:rPr>
            </w:pPr>
            <w:r w:rsidRPr="00AD7333">
              <w:rPr>
                <w:rFonts w:cstheme="minorHAnsi"/>
                <w:sz w:val="22"/>
                <w:szCs w:val="22"/>
              </w:rPr>
              <w:t xml:space="preserve">It was further confirmed that there had been no significant changes to contract numbers </w:t>
            </w:r>
            <w:r w:rsidR="00011E97" w:rsidRPr="00AD7333">
              <w:rPr>
                <w:rFonts w:cstheme="minorHAnsi"/>
                <w:sz w:val="22"/>
                <w:szCs w:val="22"/>
              </w:rPr>
              <w:t xml:space="preserve">or values since the last update. </w:t>
            </w:r>
            <w:r w:rsidRPr="00AD7333">
              <w:rPr>
                <w:rFonts w:cstheme="minorHAnsi"/>
                <w:sz w:val="22"/>
                <w:szCs w:val="22"/>
              </w:rPr>
              <w:t xml:space="preserve">  </w:t>
            </w:r>
          </w:p>
          <w:p w14:paraId="577E799E" w14:textId="77777777" w:rsidR="00236457" w:rsidRPr="00AD7333" w:rsidRDefault="00236457" w:rsidP="00AD7333">
            <w:pPr>
              <w:jc w:val="both"/>
              <w:rPr>
                <w:rFonts w:cstheme="minorHAnsi"/>
                <w:sz w:val="22"/>
                <w:szCs w:val="22"/>
              </w:rPr>
            </w:pPr>
          </w:p>
          <w:p w14:paraId="5F588F67" w14:textId="1F1A48D9" w:rsidR="00EE218C" w:rsidRPr="00AD7333" w:rsidRDefault="00011E97" w:rsidP="00AD7333">
            <w:pPr>
              <w:jc w:val="both"/>
              <w:rPr>
                <w:rFonts w:cstheme="minorHAnsi"/>
                <w:sz w:val="22"/>
                <w:szCs w:val="22"/>
              </w:rPr>
            </w:pPr>
            <w:r w:rsidRPr="00AD7333">
              <w:rPr>
                <w:rFonts w:cstheme="minorHAnsi"/>
                <w:sz w:val="22"/>
                <w:szCs w:val="22"/>
              </w:rPr>
              <w:t xml:space="preserve">In respect of Adult Education </w:t>
            </w:r>
            <w:r w:rsidR="00780FEB" w:rsidRPr="00AD7333">
              <w:rPr>
                <w:rFonts w:cstheme="minorHAnsi"/>
                <w:sz w:val="22"/>
                <w:szCs w:val="22"/>
              </w:rPr>
              <w:t>s</w:t>
            </w:r>
            <w:r w:rsidRPr="00AD7333">
              <w:rPr>
                <w:rFonts w:cstheme="minorHAnsi"/>
                <w:sz w:val="22"/>
                <w:szCs w:val="22"/>
              </w:rPr>
              <w:t xml:space="preserve">ubcontracts it was stated that the main contractor was Code Nation and that as at the submission of the January 2022 R06 ILR return Code </w:t>
            </w:r>
            <w:r w:rsidR="00780FEB" w:rsidRPr="00AD7333">
              <w:rPr>
                <w:rFonts w:cstheme="minorHAnsi"/>
                <w:sz w:val="22"/>
                <w:szCs w:val="22"/>
              </w:rPr>
              <w:t>N</w:t>
            </w:r>
            <w:r w:rsidRPr="00AD7333">
              <w:rPr>
                <w:rFonts w:cstheme="minorHAnsi"/>
                <w:sz w:val="22"/>
                <w:szCs w:val="22"/>
              </w:rPr>
              <w:t xml:space="preserve">ation had completed £213k of activity against a contract funding value of £250k </w:t>
            </w:r>
            <w:r w:rsidR="00780FEB" w:rsidRPr="00AD7333">
              <w:rPr>
                <w:rFonts w:cstheme="minorHAnsi"/>
                <w:sz w:val="22"/>
                <w:szCs w:val="22"/>
              </w:rPr>
              <w:t xml:space="preserve">with </w:t>
            </w:r>
            <w:r w:rsidRPr="00AD7333">
              <w:rPr>
                <w:rFonts w:cstheme="minorHAnsi"/>
                <w:sz w:val="22"/>
                <w:szCs w:val="22"/>
              </w:rPr>
              <w:t xml:space="preserve">an expectation that the contract would be completed by the end of February 2022. </w:t>
            </w:r>
          </w:p>
          <w:p w14:paraId="1E6A96C4" w14:textId="7A26ABCD" w:rsidR="00011E97" w:rsidRPr="00AD7333" w:rsidRDefault="00011E97" w:rsidP="00AD7333">
            <w:pPr>
              <w:jc w:val="both"/>
              <w:rPr>
                <w:rFonts w:cstheme="minorHAnsi"/>
                <w:sz w:val="22"/>
                <w:szCs w:val="22"/>
              </w:rPr>
            </w:pPr>
          </w:p>
          <w:p w14:paraId="3899C611" w14:textId="617408A5" w:rsidR="00011E97" w:rsidRPr="00AD7333" w:rsidRDefault="00011E97" w:rsidP="00AD7333">
            <w:pPr>
              <w:jc w:val="both"/>
              <w:rPr>
                <w:rFonts w:cstheme="minorHAnsi"/>
                <w:sz w:val="22"/>
                <w:szCs w:val="22"/>
              </w:rPr>
            </w:pPr>
            <w:r w:rsidRPr="00AD7333">
              <w:rPr>
                <w:rFonts w:cstheme="minorHAnsi"/>
                <w:sz w:val="22"/>
                <w:szCs w:val="22"/>
              </w:rPr>
              <w:t>The D</w:t>
            </w:r>
            <w:r w:rsidR="001E5AD0" w:rsidRPr="00AD7333">
              <w:rPr>
                <w:rFonts w:cstheme="minorHAnsi"/>
                <w:sz w:val="22"/>
                <w:szCs w:val="22"/>
              </w:rPr>
              <w:t>F</w:t>
            </w:r>
            <w:r w:rsidRPr="00AD7333">
              <w:rPr>
                <w:rFonts w:cstheme="minorHAnsi"/>
                <w:sz w:val="22"/>
                <w:szCs w:val="22"/>
              </w:rPr>
              <w:t xml:space="preserve"> reported that </w:t>
            </w:r>
            <w:r w:rsidR="00840B98" w:rsidRPr="00AD7333">
              <w:rPr>
                <w:rFonts w:cstheme="minorHAnsi"/>
                <w:sz w:val="22"/>
                <w:szCs w:val="22"/>
              </w:rPr>
              <w:t xml:space="preserve">Code Nation had asked for an additional allocation of £350k, to support learners in the </w:t>
            </w:r>
            <w:r w:rsidR="00780FEB" w:rsidRPr="00AD7333">
              <w:rPr>
                <w:rFonts w:cstheme="minorHAnsi"/>
                <w:sz w:val="22"/>
                <w:szCs w:val="22"/>
              </w:rPr>
              <w:t xml:space="preserve">local </w:t>
            </w:r>
            <w:r w:rsidR="00840B98" w:rsidRPr="00AD7333">
              <w:rPr>
                <w:rFonts w:cstheme="minorHAnsi"/>
                <w:sz w:val="22"/>
                <w:szCs w:val="22"/>
              </w:rPr>
              <w:t>areas w</w:t>
            </w:r>
            <w:r w:rsidR="00780FEB" w:rsidRPr="00AD7333">
              <w:rPr>
                <w:rFonts w:cstheme="minorHAnsi"/>
                <w:sz w:val="22"/>
                <w:szCs w:val="22"/>
              </w:rPr>
              <w:t>ishing</w:t>
            </w:r>
            <w:r w:rsidR="00840B98" w:rsidRPr="00AD7333">
              <w:rPr>
                <w:rFonts w:cstheme="minorHAnsi"/>
                <w:sz w:val="22"/>
                <w:szCs w:val="22"/>
              </w:rPr>
              <w:t xml:space="preserve"> to complete Level 2 IT Skills and Level 2 Cyber courses, </w:t>
            </w:r>
            <w:r w:rsidR="00780FEB" w:rsidRPr="00AD7333">
              <w:rPr>
                <w:rFonts w:cstheme="minorHAnsi"/>
                <w:sz w:val="22"/>
                <w:szCs w:val="22"/>
              </w:rPr>
              <w:t xml:space="preserve">both being </w:t>
            </w:r>
            <w:r w:rsidR="00840B98" w:rsidRPr="00AD7333">
              <w:rPr>
                <w:rFonts w:cstheme="minorHAnsi"/>
                <w:sz w:val="22"/>
                <w:szCs w:val="22"/>
              </w:rPr>
              <w:t>key local deficiencies and aligned to local need.  There was confirmation that from the considerations completed to date the quality of provision was considered to be good.</w:t>
            </w:r>
          </w:p>
          <w:p w14:paraId="13F05307" w14:textId="05ADE779" w:rsidR="00840B98" w:rsidRPr="00AD7333" w:rsidRDefault="00840B98" w:rsidP="00AD7333">
            <w:pPr>
              <w:jc w:val="both"/>
              <w:rPr>
                <w:rFonts w:cstheme="minorHAnsi"/>
                <w:sz w:val="22"/>
                <w:szCs w:val="22"/>
              </w:rPr>
            </w:pPr>
          </w:p>
          <w:p w14:paraId="2CA7D032" w14:textId="1FD6C169" w:rsidR="002775B5" w:rsidRPr="00AD7333" w:rsidRDefault="00840B98" w:rsidP="00AD7333">
            <w:pPr>
              <w:jc w:val="both"/>
              <w:rPr>
                <w:rFonts w:cstheme="minorHAnsi"/>
                <w:sz w:val="22"/>
                <w:szCs w:val="22"/>
              </w:rPr>
            </w:pPr>
            <w:r w:rsidRPr="00AD7333">
              <w:rPr>
                <w:rFonts w:cstheme="minorHAnsi"/>
                <w:sz w:val="22"/>
                <w:szCs w:val="22"/>
              </w:rPr>
              <w:t>In terms of associated costs there was confirmation that the total contract value would increase to £650k a</w:t>
            </w:r>
            <w:r w:rsidR="00780FEB" w:rsidRPr="00AD7333">
              <w:rPr>
                <w:rFonts w:cstheme="minorHAnsi"/>
                <w:sz w:val="22"/>
                <w:szCs w:val="22"/>
              </w:rPr>
              <w:t>t</w:t>
            </w:r>
            <w:r w:rsidRPr="00AD7333">
              <w:rPr>
                <w:rFonts w:cstheme="minorHAnsi"/>
                <w:sz w:val="22"/>
                <w:szCs w:val="22"/>
              </w:rPr>
              <w:t xml:space="preserve"> a cost to the Group of £280k</w:t>
            </w:r>
            <w:r w:rsidR="002775B5" w:rsidRPr="00AD7333">
              <w:rPr>
                <w:rFonts w:cstheme="minorHAnsi"/>
                <w:sz w:val="22"/>
                <w:szCs w:val="22"/>
              </w:rPr>
              <w:t>.</w:t>
            </w:r>
          </w:p>
          <w:p w14:paraId="1A604536" w14:textId="2B351DCF" w:rsidR="002775B5" w:rsidRPr="00AD7333" w:rsidRDefault="002775B5" w:rsidP="00AD7333">
            <w:pPr>
              <w:jc w:val="both"/>
              <w:rPr>
                <w:rFonts w:cstheme="minorHAnsi"/>
                <w:sz w:val="22"/>
                <w:szCs w:val="22"/>
              </w:rPr>
            </w:pPr>
          </w:p>
          <w:p w14:paraId="6D8A3016" w14:textId="3F10E391" w:rsidR="002775B5" w:rsidRPr="00AD7333" w:rsidRDefault="002775B5" w:rsidP="00AD7333">
            <w:pPr>
              <w:jc w:val="both"/>
              <w:rPr>
                <w:rFonts w:cstheme="minorHAnsi"/>
                <w:sz w:val="22"/>
                <w:szCs w:val="22"/>
              </w:rPr>
            </w:pPr>
            <w:r w:rsidRPr="00AD7333">
              <w:rPr>
                <w:rFonts w:cstheme="minorHAnsi"/>
                <w:sz w:val="22"/>
                <w:szCs w:val="22"/>
              </w:rPr>
              <w:t>The Principal and CEO (PCEO) commented that should the Committee recommend approval of the additional allocation to the Board of the Corporation the approval of the GMCA would also need to be sought</w:t>
            </w:r>
            <w:r w:rsidR="001E5AD0" w:rsidRPr="00AD7333">
              <w:rPr>
                <w:rFonts w:cstheme="minorHAnsi"/>
                <w:sz w:val="22"/>
                <w:szCs w:val="22"/>
              </w:rPr>
              <w:t>.</w:t>
            </w:r>
          </w:p>
          <w:p w14:paraId="0EF5249C" w14:textId="77777777" w:rsidR="002775B5" w:rsidRPr="00AD7333" w:rsidRDefault="002775B5" w:rsidP="00AD7333">
            <w:pPr>
              <w:jc w:val="both"/>
              <w:rPr>
                <w:rFonts w:cstheme="minorHAnsi"/>
                <w:sz w:val="22"/>
                <w:szCs w:val="22"/>
              </w:rPr>
            </w:pPr>
          </w:p>
          <w:p w14:paraId="2485CA86" w14:textId="77777777" w:rsidR="002775B5" w:rsidRPr="00AD7333" w:rsidRDefault="002775B5" w:rsidP="00AD7333">
            <w:pPr>
              <w:jc w:val="both"/>
              <w:rPr>
                <w:rFonts w:cstheme="minorHAnsi"/>
                <w:sz w:val="22"/>
                <w:szCs w:val="22"/>
              </w:rPr>
            </w:pPr>
            <w:r w:rsidRPr="00AD7333">
              <w:rPr>
                <w:rFonts w:cstheme="minorHAnsi"/>
                <w:sz w:val="22"/>
                <w:szCs w:val="22"/>
              </w:rPr>
              <w:t>Questions from members were invited.</w:t>
            </w:r>
          </w:p>
          <w:p w14:paraId="7D20EEF7" w14:textId="0550893F" w:rsidR="002775B5" w:rsidRPr="00AD7333" w:rsidRDefault="002775B5" w:rsidP="00AD7333">
            <w:pPr>
              <w:jc w:val="both"/>
              <w:rPr>
                <w:rFonts w:cstheme="minorHAnsi"/>
                <w:sz w:val="22"/>
                <w:szCs w:val="22"/>
              </w:rPr>
            </w:pPr>
          </w:p>
          <w:p w14:paraId="19DF99D2" w14:textId="77777777" w:rsidR="002775B5" w:rsidRPr="00AD7333" w:rsidRDefault="002775B5" w:rsidP="00477AC2">
            <w:pPr>
              <w:pStyle w:val="ListParagraph"/>
              <w:numPr>
                <w:ilvl w:val="0"/>
                <w:numId w:val="2"/>
              </w:numPr>
              <w:ind w:left="395" w:hanging="395"/>
              <w:jc w:val="both"/>
              <w:rPr>
                <w:rFonts w:cstheme="minorHAnsi"/>
                <w:sz w:val="22"/>
                <w:szCs w:val="22"/>
              </w:rPr>
            </w:pPr>
            <w:r w:rsidRPr="00AD7333">
              <w:rPr>
                <w:rFonts w:cstheme="minorHAnsi"/>
                <w:sz w:val="22"/>
                <w:szCs w:val="22"/>
              </w:rPr>
              <w:t>A question was asked by a member as to what would happen if the additional allocation was not approved.</w:t>
            </w:r>
          </w:p>
          <w:p w14:paraId="57B9BEE9" w14:textId="77777777" w:rsidR="002775B5" w:rsidRPr="00AD7333" w:rsidRDefault="002775B5" w:rsidP="00AD7333">
            <w:pPr>
              <w:jc w:val="both"/>
              <w:rPr>
                <w:rFonts w:cstheme="minorHAnsi"/>
                <w:sz w:val="22"/>
                <w:szCs w:val="22"/>
              </w:rPr>
            </w:pPr>
          </w:p>
          <w:p w14:paraId="29FB8859" w14:textId="77777777" w:rsidR="001466C2" w:rsidRPr="00AD7333" w:rsidRDefault="002775B5" w:rsidP="00AD7333">
            <w:pPr>
              <w:jc w:val="both"/>
              <w:rPr>
                <w:rFonts w:cstheme="minorHAnsi"/>
                <w:sz w:val="22"/>
                <w:szCs w:val="22"/>
              </w:rPr>
            </w:pPr>
            <w:r w:rsidRPr="00AD7333">
              <w:rPr>
                <w:rFonts w:cstheme="minorHAnsi"/>
                <w:sz w:val="22"/>
                <w:szCs w:val="22"/>
              </w:rPr>
              <w:t xml:space="preserve">The DF responded that the </w:t>
            </w:r>
            <w:r w:rsidR="004F379B" w:rsidRPr="00AD7333">
              <w:rPr>
                <w:rFonts w:cstheme="minorHAnsi"/>
                <w:sz w:val="22"/>
                <w:szCs w:val="22"/>
              </w:rPr>
              <w:t xml:space="preserve">Group, in the current academic year, was underdelivering its allocation due to the impact of Covid and employers being reticent in terms of new starters.  It was added that a recovery plan was underway and that in future there was confidence the Group would be able to meet its allocation.  The FD stated that there was a time lag impact and that the proposed action would enable retention of the same allocation for next year which moving forward would be delivered in-house. </w:t>
            </w:r>
          </w:p>
          <w:p w14:paraId="73DF983B" w14:textId="77777777" w:rsidR="001466C2" w:rsidRPr="00AD7333" w:rsidRDefault="001466C2" w:rsidP="00AD7333">
            <w:pPr>
              <w:jc w:val="both"/>
              <w:rPr>
                <w:rFonts w:cstheme="minorHAnsi"/>
                <w:sz w:val="22"/>
                <w:szCs w:val="22"/>
              </w:rPr>
            </w:pPr>
          </w:p>
          <w:p w14:paraId="1BEDF2CA" w14:textId="64C3D746" w:rsidR="00594157" w:rsidRPr="00AD7333" w:rsidRDefault="009E7694" w:rsidP="00AD7333">
            <w:pPr>
              <w:jc w:val="both"/>
              <w:rPr>
                <w:rFonts w:cstheme="minorHAnsi"/>
                <w:sz w:val="22"/>
                <w:szCs w:val="22"/>
              </w:rPr>
            </w:pPr>
            <w:r w:rsidRPr="00AD7333">
              <w:rPr>
                <w:rFonts w:cstheme="minorHAnsi"/>
                <w:sz w:val="22"/>
                <w:szCs w:val="22"/>
              </w:rPr>
              <w:t xml:space="preserve">The PCEO with reference to 16-19 subcontracting highlighted </w:t>
            </w:r>
            <w:r w:rsidR="00A1213D" w:rsidRPr="00AD7333">
              <w:rPr>
                <w:rFonts w:cstheme="minorHAnsi"/>
                <w:sz w:val="22"/>
                <w:szCs w:val="22"/>
              </w:rPr>
              <w:t xml:space="preserve">an emerging risk around </w:t>
            </w:r>
            <w:r w:rsidRPr="00AD7333">
              <w:rPr>
                <w:rFonts w:cstheme="minorHAnsi"/>
                <w:sz w:val="22"/>
                <w:szCs w:val="22"/>
              </w:rPr>
              <w:t>the ESFA’s adoption of a national strategy to decrease subcontracting arrangements and also the</w:t>
            </w:r>
            <w:r w:rsidR="00A1213D" w:rsidRPr="00AD7333">
              <w:rPr>
                <w:rFonts w:cstheme="minorHAnsi"/>
                <w:sz w:val="22"/>
                <w:szCs w:val="22"/>
              </w:rPr>
              <w:t>ir</w:t>
            </w:r>
            <w:r w:rsidRPr="00AD7333">
              <w:rPr>
                <w:rFonts w:cstheme="minorHAnsi"/>
                <w:sz w:val="22"/>
                <w:szCs w:val="22"/>
              </w:rPr>
              <w:t xml:space="preserve"> concerns nationally </w:t>
            </w:r>
            <w:r w:rsidR="00A1213D" w:rsidRPr="00AD7333">
              <w:rPr>
                <w:rFonts w:cstheme="minorHAnsi"/>
                <w:sz w:val="22"/>
                <w:szCs w:val="22"/>
              </w:rPr>
              <w:t xml:space="preserve">in terms of the delivery of </w:t>
            </w:r>
            <w:r w:rsidRPr="00AD7333">
              <w:rPr>
                <w:rFonts w:cstheme="minorHAnsi"/>
                <w:sz w:val="22"/>
                <w:szCs w:val="22"/>
              </w:rPr>
              <w:t>sport and subcontracting.  The PCEO added that the Group believed they had a good narrative a</w:t>
            </w:r>
            <w:r w:rsidR="00213E8B" w:rsidRPr="00AD7333">
              <w:rPr>
                <w:rFonts w:cstheme="minorHAnsi"/>
                <w:sz w:val="22"/>
                <w:szCs w:val="22"/>
              </w:rPr>
              <w:t xml:space="preserve">round this aspect </w:t>
            </w:r>
            <w:r w:rsidR="00E2309B" w:rsidRPr="00AD7333">
              <w:rPr>
                <w:rFonts w:cstheme="minorHAnsi"/>
                <w:sz w:val="22"/>
                <w:szCs w:val="22"/>
              </w:rPr>
              <w:t xml:space="preserve">of its provision </w:t>
            </w:r>
            <w:r w:rsidR="00213E8B" w:rsidRPr="00AD7333">
              <w:rPr>
                <w:rFonts w:cstheme="minorHAnsi"/>
                <w:sz w:val="22"/>
                <w:szCs w:val="22"/>
              </w:rPr>
              <w:t>particularly in relation to quality and choice.</w:t>
            </w:r>
          </w:p>
          <w:p w14:paraId="71EEA541" w14:textId="6B469D6E" w:rsidR="00213E8B" w:rsidRPr="00AD7333" w:rsidRDefault="00213E8B" w:rsidP="00AD7333">
            <w:pPr>
              <w:jc w:val="both"/>
              <w:rPr>
                <w:rFonts w:cstheme="minorHAnsi"/>
                <w:sz w:val="22"/>
                <w:szCs w:val="22"/>
              </w:rPr>
            </w:pPr>
          </w:p>
          <w:p w14:paraId="4105C60F" w14:textId="77777777" w:rsidR="00BF44FF" w:rsidRPr="00AD7333" w:rsidRDefault="00213E8B" w:rsidP="00AD7333">
            <w:pPr>
              <w:jc w:val="both"/>
              <w:rPr>
                <w:rFonts w:cstheme="minorHAnsi"/>
                <w:sz w:val="22"/>
                <w:szCs w:val="22"/>
              </w:rPr>
            </w:pPr>
            <w:r w:rsidRPr="00AD7333">
              <w:rPr>
                <w:rFonts w:cstheme="minorHAnsi"/>
                <w:sz w:val="22"/>
                <w:szCs w:val="22"/>
              </w:rPr>
              <w:t xml:space="preserve">The PCEO highlighted </w:t>
            </w:r>
            <w:r w:rsidR="008C4A8C" w:rsidRPr="00AD7333">
              <w:rPr>
                <w:rFonts w:cstheme="minorHAnsi"/>
                <w:sz w:val="22"/>
                <w:szCs w:val="22"/>
              </w:rPr>
              <w:t xml:space="preserve">a further </w:t>
            </w:r>
            <w:r w:rsidR="00A1213D" w:rsidRPr="00AD7333">
              <w:rPr>
                <w:rFonts w:cstheme="minorHAnsi"/>
                <w:sz w:val="22"/>
                <w:szCs w:val="22"/>
              </w:rPr>
              <w:t xml:space="preserve">risk </w:t>
            </w:r>
            <w:r w:rsidR="008C4A8C" w:rsidRPr="00AD7333">
              <w:rPr>
                <w:rFonts w:cstheme="minorHAnsi"/>
                <w:sz w:val="22"/>
                <w:szCs w:val="22"/>
              </w:rPr>
              <w:t xml:space="preserve">concerning the </w:t>
            </w:r>
            <w:r w:rsidRPr="00AD7333">
              <w:rPr>
                <w:rFonts w:cstheme="minorHAnsi"/>
                <w:sz w:val="22"/>
                <w:szCs w:val="22"/>
              </w:rPr>
              <w:t>ESFA</w:t>
            </w:r>
            <w:r w:rsidR="008C4A8C" w:rsidRPr="00AD7333">
              <w:rPr>
                <w:rFonts w:cstheme="minorHAnsi"/>
                <w:sz w:val="22"/>
                <w:szCs w:val="22"/>
              </w:rPr>
              <w:t>’s view of subcontracting arra</w:t>
            </w:r>
            <w:r w:rsidR="00BF44FF" w:rsidRPr="00AD7333">
              <w:rPr>
                <w:rFonts w:cstheme="minorHAnsi"/>
                <w:sz w:val="22"/>
                <w:szCs w:val="22"/>
              </w:rPr>
              <w:t>n</w:t>
            </w:r>
            <w:r w:rsidR="008C4A8C" w:rsidRPr="00AD7333">
              <w:rPr>
                <w:rFonts w:cstheme="minorHAnsi"/>
                <w:sz w:val="22"/>
                <w:szCs w:val="22"/>
              </w:rPr>
              <w:t xml:space="preserve">gements with secondary schools and the potential impact on the arrangements with </w:t>
            </w:r>
            <w:r w:rsidRPr="00AD7333">
              <w:rPr>
                <w:rFonts w:cstheme="minorHAnsi"/>
                <w:sz w:val="22"/>
                <w:szCs w:val="22"/>
              </w:rPr>
              <w:t>Flixton Girls’ School</w:t>
            </w:r>
            <w:r w:rsidR="00A1213D" w:rsidRPr="00AD7333">
              <w:rPr>
                <w:rFonts w:cstheme="minorHAnsi"/>
                <w:sz w:val="22"/>
                <w:szCs w:val="22"/>
              </w:rPr>
              <w:t xml:space="preserve">.  </w:t>
            </w:r>
            <w:r w:rsidR="008C4A8C" w:rsidRPr="00AD7333">
              <w:rPr>
                <w:rFonts w:cstheme="minorHAnsi"/>
                <w:sz w:val="22"/>
                <w:szCs w:val="22"/>
              </w:rPr>
              <w:t xml:space="preserve">The PCEO further advised that he had expressed his dismay to the </w:t>
            </w:r>
            <w:r w:rsidR="008C4A8C" w:rsidRPr="00AD7333">
              <w:rPr>
                <w:rFonts w:cstheme="minorHAnsi"/>
                <w:sz w:val="22"/>
                <w:szCs w:val="22"/>
              </w:rPr>
              <w:lastRenderedPageBreak/>
              <w:t>ESFA of this approach and that together with the Headteacher of the school he would be producing a business case to retain the contract.</w:t>
            </w:r>
          </w:p>
          <w:p w14:paraId="35994F3B" w14:textId="77777777" w:rsidR="00BF44FF" w:rsidRPr="00AD7333" w:rsidRDefault="00BF44FF" w:rsidP="00AD7333">
            <w:pPr>
              <w:jc w:val="both"/>
              <w:rPr>
                <w:rFonts w:cstheme="minorHAnsi"/>
                <w:sz w:val="22"/>
                <w:szCs w:val="22"/>
              </w:rPr>
            </w:pPr>
          </w:p>
          <w:p w14:paraId="5A5F1AAB" w14:textId="77777777" w:rsidR="00BF44FF" w:rsidRPr="00AD7333" w:rsidRDefault="00BF44FF" w:rsidP="00AD7333">
            <w:pPr>
              <w:jc w:val="both"/>
              <w:rPr>
                <w:rFonts w:cstheme="minorHAnsi"/>
                <w:b/>
                <w:bCs/>
                <w:sz w:val="22"/>
                <w:szCs w:val="22"/>
              </w:rPr>
            </w:pPr>
            <w:r w:rsidRPr="00AD7333">
              <w:rPr>
                <w:rFonts w:cstheme="minorHAnsi"/>
                <w:b/>
                <w:bCs/>
                <w:sz w:val="22"/>
                <w:szCs w:val="22"/>
              </w:rPr>
              <w:t>Action:  Principal and CEO</w:t>
            </w:r>
          </w:p>
          <w:p w14:paraId="2A53E1B8" w14:textId="6F0726FC" w:rsidR="00213E8B" w:rsidRPr="00AD7333" w:rsidRDefault="00213E8B" w:rsidP="00AD7333">
            <w:pPr>
              <w:jc w:val="both"/>
              <w:rPr>
                <w:rFonts w:cstheme="minorHAnsi"/>
                <w:sz w:val="22"/>
                <w:szCs w:val="22"/>
              </w:rPr>
            </w:pPr>
          </w:p>
          <w:p w14:paraId="006F74E8" w14:textId="4A3CFE37" w:rsidR="00213E8B" w:rsidRPr="00AD7333" w:rsidRDefault="00213E8B" w:rsidP="00477AC2">
            <w:pPr>
              <w:pStyle w:val="ListParagraph"/>
              <w:numPr>
                <w:ilvl w:val="0"/>
                <w:numId w:val="2"/>
              </w:numPr>
              <w:ind w:left="395" w:hanging="395"/>
              <w:jc w:val="both"/>
              <w:rPr>
                <w:rFonts w:cstheme="minorHAnsi"/>
                <w:sz w:val="22"/>
                <w:szCs w:val="22"/>
              </w:rPr>
            </w:pPr>
            <w:r w:rsidRPr="00AD7333">
              <w:rPr>
                <w:rFonts w:cstheme="minorHAnsi"/>
                <w:sz w:val="22"/>
                <w:szCs w:val="22"/>
              </w:rPr>
              <w:t xml:space="preserve">A question was asked by a member as to whether the Group should be giving consideration to </w:t>
            </w:r>
            <w:r w:rsidR="006160B3" w:rsidRPr="00AD7333">
              <w:rPr>
                <w:rFonts w:cstheme="minorHAnsi"/>
                <w:sz w:val="22"/>
                <w:szCs w:val="22"/>
              </w:rPr>
              <w:t xml:space="preserve">back up </w:t>
            </w:r>
            <w:r w:rsidRPr="00AD7333">
              <w:rPr>
                <w:rFonts w:cstheme="minorHAnsi"/>
                <w:sz w:val="22"/>
                <w:szCs w:val="22"/>
              </w:rPr>
              <w:t>options.</w:t>
            </w:r>
          </w:p>
          <w:p w14:paraId="3D36ADF6" w14:textId="77777777" w:rsidR="00213E8B" w:rsidRPr="00AD7333" w:rsidRDefault="00213E8B" w:rsidP="00AD7333">
            <w:pPr>
              <w:jc w:val="both"/>
              <w:rPr>
                <w:rFonts w:cstheme="minorHAnsi"/>
                <w:sz w:val="22"/>
                <w:szCs w:val="22"/>
              </w:rPr>
            </w:pPr>
          </w:p>
          <w:p w14:paraId="11758E3E" w14:textId="60B96054" w:rsidR="009E7694" w:rsidRPr="00AD7333" w:rsidRDefault="00213E8B" w:rsidP="00AD7333">
            <w:pPr>
              <w:jc w:val="both"/>
              <w:rPr>
                <w:rFonts w:cstheme="minorHAnsi"/>
                <w:sz w:val="22"/>
                <w:szCs w:val="22"/>
              </w:rPr>
            </w:pPr>
            <w:r w:rsidRPr="00AD7333">
              <w:rPr>
                <w:rFonts w:cstheme="minorHAnsi"/>
                <w:sz w:val="22"/>
                <w:szCs w:val="22"/>
              </w:rPr>
              <w:t xml:space="preserve">The PCEO responded that </w:t>
            </w:r>
            <w:r w:rsidR="00A1213D" w:rsidRPr="00AD7333">
              <w:rPr>
                <w:rFonts w:cstheme="minorHAnsi"/>
                <w:sz w:val="22"/>
                <w:szCs w:val="22"/>
              </w:rPr>
              <w:t xml:space="preserve">work would take place to develop back up options however the position as presented was the preferred option.  The PCEO stated that other </w:t>
            </w:r>
            <w:r w:rsidR="006160B3" w:rsidRPr="00AD7333">
              <w:rPr>
                <w:rFonts w:cstheme="minorHAnsi"/>
                <w:sz w:val="22"/>
                <w:szCs w:val="22"/>
              </w:rPr>
              <w:t>back up</w:t>
            </w:r>
            <w:r w:rsidR="00A1213D" w:rsidRPr="00AD7333">
              <w:rPr>
                <w:rFonts w:cstheme="minorHAnsi"/>
                <w:sz w:val="22"/>
                <w:szCs w:val="22"/>
              </w:rPr>
              <w:t xml:space="preserve"> options, including a partnership basis, would be explored with a view to </w:t>
            </w:r>
            <w:r w:rsidR="006160B3" w:rsidRPr="00AD7333">
              <w:rPr>
                <w:rFonts w:cstheme="minorHAnsi"/>
                <w:sz w:val="22"/>
                <w:szCs w:val="22"/>
              </w:rPr>
              <w:t xml:space="preserve">the Group </w:t>
            </w:r>
            <w:r w:rsidR="00A1213D" w:rsidRPr="00AD7333">
              <w:rPr>
                <w:rFonts w:cstheme="minorHAnsi"/>
                <w:sz w:val="22"/>
                <w:szCs w:val="22"/>
              </w:rPr>
              <w:t>being able to retain the established relationship.</w:t>
            </w:r>
          </w:p>
          <w:p w14:paraId="331E12B1" w14:textId="19379DCC" w:rsidR="00EE218C" w:rsidRPr="00AD7333" w:rsidRDefault="00EE218C" w:rsidP="00AD7333">
            <w:pPr>
              <w:jc w:val="both"/>
              <w:rPr>
                <w:rFonts w:cstheme="minorHAnsi"/>
                <w:sz w:val="22"/>
                <w:szCs w:val="22"/>
              </w:rPr>
            </w:pPr>
          </w:p>
          <w:p w14:paraId="05AD5735" w14:textId="227F1B70" w:rsidR="004F379B" w:rsidRPr="00AD7333" w:rsidRDefault="004F379B" w:rsidP="00AD7333">
            <w:pPr>
              <w:jc w:val="both"/>
              <w:rPr>
                <w:rFonts w:cstheme="minorHAnsi"/>
                <w:b/>
                <w:bCs/>
                <w:sz w:val="22"/>
                <w:szCs w:val="22"/>
              </w:rPr>
            </w:pPr>
            <w:r w:rsidRPr="00AD7333">
              <w:rPr>
                <w:rFonts w:cstheme="minorHAnsi"/>
                <w:b/>
                <w:bCs/>
                <w:sz w:val="22"/>
                <w:szCs w:val="22"/>
              </w:rPr>
              <w:t>There were no further questions or issues raised by members and following due consideration and deliberation it was unanimously resolved that:</w:t>
            </w:r>
          </w:p>
          <w:p w14:paraId="014C6C70" w14:textId="6BE8A282" w:rsidR="004F379B" w:rsidRPr="00AD7333" w:rsidRDefault="004F379B" w:rsidP="00AD7333">
            <w:pPr>
              <w:jc w:val="both"/>
              <w:rPr>
                <w:rFonts w:cstheme="minorHAnsi"/>
                <w:b/>
                <w:bCs/>
                <w:sz w:val="22"/>
                <w:szCs w:val="22"/>
              </w:rPr>
            </w:pPr>
          </w:p>
          <w:p w14:paraId="35A12637" w14:textId="77777777" w:rsidR="001466C2" w:rsidRPr="00AD7333" w:rsidRDefault="001466C2" w:rsidP="00477AC2">
            <w:pPr>
              <w:pStyle w:val="ListParagraph"/>
              <w:numPr>
                <w:ilvl w:val="0"/>
                <w:numId w:val="3"/>
              </w:numPr>
              <w:ind w:left="395" w:hanging="395"/>
              <w:jc w:val="both"/>
              <w:rPr>
                <w:rFonts w:cstheme="minorHAnsi"/>
                <w:b/>
                <w:bCs/>
                <w:sz w:val="22"/>
                <w:szCs w:val="22"/>
              </w:rPr>
            </w:pPr>
            <w:r w:rsidRPr="00AD7333">
              <w:rPr>
                <w:rFonts w:cstheme="minorHAnsi"/>
                <w:b/>
                <w:bCs/>
                <w:sz w:val="22"/>
                <w:szCs w:val="22"/>
              </w:rPr>
              <w:t>the mid-year update report in respect of Partner Subcontracting Activities 2021/2022 be received and noted; and</w:t>
            </w:r>
          </w:p>
          <w:p w14:paraId="56AF3A4E" w14:textId="5FB5DDDF" w:rsidR="004F379B" w:rsidRPr="00AD7333" w:rsidRDefault="001466C2" w:rsidP="00477AC2">
            <w:pPr>
              <w:pStyle w:val="ListParagraph"/>
              <w:numPr>
                <w:ilvl w:val="0"/>
                <w:numId w:val="3"/>
              </w:numPr>
              <w:ind w:left="395" w:hanging="395"/>
              <w:jc w:val="both"/>
              <w:rPr>
                <w:rFonts w:cstheme="minorHAnsi"/>
                <w:b/>
                <w:bCs/>
                <w:sz w:val="22"/>
                <w:szCs w:val="22"/>
              </w:rPr>
            </w:pPr>
            <w:r w:rsidRPr="00AD7333">
              <w:rPr>
                <w:rFonts w:cstheme="minorHAnsi"/>
                <w:b/>
                <w:bCs/>
                <w:sz w:val="22"/>
                <w:szCs w:val="22"/>
              </w:rPr>
              <w:t xml:space="preserve">an additional Adult Education subcontractor allocation to Code Nation of £350k during 2021/2022 be recommended to the Board of the Corporation for approval. </w:t>
            </w:r>
          </w:p>
          <w:p w14:paraId="28759872" w14:textId="77777777" w:rsidR="002F1537" w:rsidRPr="00AD7333" w:rsidRDefault="002F1537" w:rsidP="00AD7333">
            <w:pPr>
              <w:jc w:val="both"/>
              <w:rPr>
                <w:rFonts w:cstheme="minorHAnsi"/>
                <w:sz w:val="22"/>
                <w:szCs w:val="22"/>
              </w:rPr>
            </w:pPr>
          </w:p>
          <w:p w14:paraId="62BDA8A3" w14:textId="57245D11" w:rsidR="006160B3" w:rsidRPr="00AD7333" w:rsidRDefault="006160B3" w:rsidP="00AD7333">
            <w:pPr>
              <w:jc w:val="both"/>
              <w:rPr>
                <w:rFonts w:cstheme="minorHAnsi"/>
                <w:b/>
                <w:bCs/>
                <w:sz w:val="22"/>
                <w:szCs w:val="22"/>
              </w:rPr>
            </w:pPr>
            <w:r w:rsidRPr="00AD7333">
              <w:rPr>
                <w:rFonts w:cstheme="minorHAnsi"/>
                <w:b/>
                <w:bCs/>
                <w:sz w:val="22"/>
                <w:szCs w:val="22"/>
              </w:rPr>
              <w:t>Action:  Board of the Corporation</w:t>
            </w:r>
          </w:p>
          <w:p w14:paraId="298F454F" w14:textId="42661EF0" w:rsidR="006160B3" w:rsidRPr="00AD7333" w:rsidRDefault="006160B3" w:rsidP="00AD7333">
            <w:pPr>
              <w:jc w:val="both"/>
              <w:rPr>
                <w:rFonts w:cstheme="minorHAnsi"/>
                <w:sz w:val="22"/>
                <w:szCs w:val="22"/>
              </w:rPr>
            </w:pPr>
          </w:p>
        </w:tc>
      </w:tr>
      <w:tr w:rsidR="0020685E" w:rsidRPr="00AD7333" w14:paraId="75D711B9" w14:textId="77777777" w:rsidTr="00AD7333">
        <w:tc>
          <w:tcPr>
            <w:tcW w:w="767" w:type="pct"/>
          </w:tcPr>
          <w:p w14:paraId="6DDD400B" w14:textId="62E5242F" w:rsidR="0020685E" w:rsidRPr="00AD7333" w:rsidRDefault="002F1537" w:rsidP="00AD7333">
            <w:pPr>
              <w:jc w:val="both"/>
              <w:rPr>
                <w:rFonts w:cstheme="minorHAnsi"/>
                <w:b/>
                <w:sz w:val="22"/>
                <w:szCs w:val="22"/>
              </w:rPr>
            </w:pPr>
            <w:r w:rsidRPr="00AD7333">
              <w:rPr>
                <w:rFonts w:cstheme="minorHAnsi"/>
                <w:b/>
                <w:sz w:val="22"/>
                <w:szCs w:val="22"/>
              </w:rPr>
              <w:lastRenderedPageBreak/>
              <w:t>RES/07/22</w:t>
            </w:r>
          </w:p>
        </w:tc>
        <w:tc>
          <w:tcPr>
            <w:tcW w:w="4233" w:type="pct"/>
          </w:tcPr>
          <w:p w14:paraId="60C5BB45" w14:textId="77777777" w:rsidR="0081553C" w:rsidRPr="00AD7333" w:rsidRDefault="002F1537" w:rsidP="00AD7333">
            <w:pPr>
              <w:jc w:val="both"/>
              <w:rPr>
                <w:rFonts w:cstheme="minorHAnsi"/>
                <w:sz w:val="22"/>
                <w:szCs w:val="22"/>
              </w:rPr>
            </w:pPr>
            <w:r w:rsidRPr="00AD7333">
              <w:rPr>
                <w:rFonts w:cstheme="minorHAnsi"/>
                <w:b/>
                <w:bCs/>
                <w:sz w:val="22"/>
                <w:szCs w:val="22"/>
              </w:rPr>
              <w:t>Organisational Development Plan 2021/2022 Update</w:t>
            </w:r>
          </w:p>
          <w:p w14:paraId="63F5E04E" w14:textId="740332A4" w:rsidR="002F1537" w:rsidRPr="00AD7333" w:rsidRDefault="002F1537" w:rsidP="00AD7333">
            <w:pPr>
              <w:jc w:val="both"/>
              <w:rPr>
                <w:rFonts w:cstheme="minorHAnsi"/>
                <w:sz w:val="22"/>
                <w:szCs w:val="22"/>
              </w:rPr>
            </w:pPr>
          </w:p>
          <w:p w14:paraId="22B11430" w14:textId="5A818559" w:rsidR="00E10514" w:rsidRPr="00AD7333" w:rsidRDefault="00A1213D"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Director of</w:t>
            </w:r>
            <w:r w:rsidRPr="00AD7333">
              <w:rPr>
                <w:rFonts w:cstheme="minorHAnsi"/>
                <w:sz w:val="22"/>
                <w:szCs w:val="22"/>
              </w:rPr>
              <w:t xml:space="preserve"> Human Resources and Performance (</w:t>
            </w:r>
            <w:r w:rsidR="00EA0F3C" w:rsidRPr="00AD7333">
              <w:rPr>
                <w:rFonts w:cstheme="minorHAnsi"/>
                <w:sz w:val="22"/>
                <w:szCs w:val="22"/>
              </w:rPr>
              <w:t>D</w:t>
            </w:r>
            <w:r w:rsidRPr="00AD7333">
              <w:rPr>
                <w:rFonts w:cstheme="minorHAnsi"/>
                <w:sz w:val="22"/>
                <w:szCs w:val="22"/>
              </w:rPr>
              <w:t xml:space="preserve">HRP) referred members to the previously circulated </w:t>
            </w:r>
            <w:r w:rsidR="00E10514" w:rsidRPr="00AD7333">
              <w:rPr>
                <w:rFonts w:cstheme="minorHAnsi"/>
                <w:sz w:val="22"/>
                <w:szCs w:val="22"/>
              </w:rPr>
              <w:t xml:space="preserve">Organisational Development and Engagement Plan </w:t>
            </w:r>
            <w:r w:rsidR="00CC1165" w:rsidRPr="00AD7333">
              <w:rPr>
                <w:rFonts w:cstheme="minorHAnsi"/>
                <w:sz w:val="22"/>
                <w:szCs w:val="22"/>
              </w:rPr>
              <w:t xml:space="preserve">(ODEP) </w:t>
            </w:r>
            <w:r w:rsidR="00E10514" w:rsidRPr="00AD7333">
              <w:rPr>
                <w:rFonts w:cstheme="minorHAnsi"/>
                <w:sz w:val="22"/>
                <w:szCs w:val="22"/>
              </w:rPr>
              <w:t xml:space="preserve">2021/2022.  </w:t>
            </w:r>
          </w:p>
          <w:p w14:paraId="4AC94246" w14:textId="77777777" w:rsidR="00E10514" w:rsidRPr="00AD7333" w:rsidRDefault="00E10514" w:rsidP="00AD7333">
            <w:pPr>
              <w:jc w:val="both"/>
              <w:rPr>
                <w:rFonts w:cstheme="minorHAnsi"/>
                <w:sz w:val="22"/>
                <w:szCs w:val="22"/>
              </w:rPr>
            </w:pPr>
          </w:p>
          <w:p w14:paraId="75C00200" w14:textId="4903035E" w:rsidR="00B970AB" w:rsidRPr="00AD7333" w:rsidRDefault="00E10514"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w:t>
            </w:r>
            <w:r w:rsidRPr="00AD7333">
              <w:rPr>
                <w:rFonts w:cstheme="minorHAnsi"/>
                <w:sz w:val="22"/>
                <w:szCs w:val="22"/>
              </w:rPr>
              <w:t xml:space="preserve">HRP stated that the </w:t>
            </w:r>
            <w:r w:rsidR="00CC1165" w:rsidRPr="00AD7333">
              <w:rPr>
                <w:rFonts w:cstheme="minorHAnsi"/>
                <w:sz w:val="22"/>
                <w:szCs w:val="22"/>
              </w:rPr>
              <w:t>ODEP</w:t>
            </w:r>
            <w:r w:rsidRPr="00AD7333">
              <w:rPr>
                <w:rFonts w:cstheme="minorHAnsi"/>
                <w:sz w:val="22"/>
                <w:szCs w:val="22"/>
              </w:rPr>
              <w:t xml:space="preserve"> was organisation wide and took into account associated strategies and policies as appropriate</w:t>
            </w:r>
            <w:r w:rsidR="00B970AB" w:rsidRPr="00AD7333">
              <w:rPr>
                <w:rFonts w:cstheme="minorHAnsi"/>
                <w:sz w:val="22"/>
                <w:szCs w:val="22"/>
              </w:rPr>
              <w:t xml:space="preserve">.  It was further </w:t>
            </w:r>
            <w:r w:rsidR="00B142B6" w:rsidRPr="00AD7333">
              <w:rPr>
                <w:rFonts w:cstheme="minorHAnsi"/>
                <w:sz w:val="22"/>
                <w:szCs w:val="22"/>
              </w:rPr>
              <w:t>commented</w:t>
            </w:r>
            <w:r w:rsidR="00B970AB" w:rsidRPr="00AD7333">
              <w:rPr>
                <w:rFonts w:cstheme="minorHAnsi"/>
                <w:sz w:val="22"/>
                <w:szCs w:val="22"/>
              </w:rPr>
              <w:t xml:space="preserve"> that whilst the </w:t>
            </w:r>
            <w:r w:rsidR="00CC1165" w:rsidRPr="00AD7333">
              <w:rPr>
                <w:rFonts w:cstheme="minorHAnsi"/>
                <w:sz w:val="22"/>
                <w:szCs w:val="22"/>
              </w:rPr>
              <w:t>ODEP</w:t>
            </w:r>
            <w:r w:rsidR="00B970AB" w:rsidRPr="00AD7333">
              <w:rPr>
                <w:rFonts w:cstheme="minorHAnsi"/>
                <w:sz w:val="22"/>
                <w:szCs w:val="22"/>
              </w:rPr>
              <w:t xml:space="preserve"> had been designed to focus on key organisational and engagement issues it remained flexible in its approach to offer the ability to respond to issues and changes as they may arise during the course of the year.</w:t>
            </w:r>
          </w:p>
          <w:p w14:paraId="0EFDDABE" w14:textId="77777777" w:rsidR="00B970AB" w:rsidRPr="00AD7333" w:rsidRDefault="00B970AB" w:rsidP="00AD7333">
            <w:pPr>
              <w:jc w:val="both"/>
              <w:rPr>
                <w:rFonts w:cstheme="minorHAnsi"/>
                <w:sz w:val="22"/>
                <w:szCs w:val="22"/>
              </w:rPr>
            </w:pPr>
          </w:p>
          <w:p w14:paraId="61F91992" w14:textId="77777777" w:rsidR="00476A1A" w:rsidRPr="00AD7333" w:rsidRDefault="00B970AB"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w:t>
            </w:r>
            <w:r w:rsidRPr="00AD7333">
              <w:rPr>
                <w:rFonts w:cstheme="minorHAnsi"/>
                <w:sz w:val="22"/>
                <w:szCs w:val="22"/>
              </w:rPr>
              <w:t>HRP highlighted the focus on post</w:t>
            </w:r>
            <w:r w:rsidR="00BF05C5" w:rsidRPr="00AD7333">
              <w:rPr>
                <w:rFonts w:cstheme="minorHAnsi"/>
                <w:sz w:val="22"/>
                <w:szCs w:val="22"/>
              </w:rPr>
              <w:t>-</w:t>
            </w:r>
            <w:r w:rsidRPr="00AD7333">
              <w:rPr>
                <w:rFonts w:cstheme="minorHAnsi"/>
                <w:sz w:val="22"/>
                <w:szCs w:val="22"/>
              </w:rPr>
              <w:t xml:space="preserve">merger activities with staff which moving forward </w:t>
            </w:r>
            <w:r w:rsidR="00CC1165" w:rsidRPr="00AD7333">
              <w:rPr>
                <w:rFonts w:cstheme="minorHAnsi"/>
                <w:sz w:val="22"/>
                <w:szCs w:val="22"/>
              </w:rPr>
              <w:t xml:space="preserve">which </w:t>
            </w:r>
            <w:r w:rsidRPr="00AD7333">
              <w:rPr>
                <w:rFonts w:cstheme="minorHAnsi"/>
                <w:sz w:val="22"/>
                <w:szCs w:val="22"/>
              </w:rPr>
              <w:t xml:space="preserve">would be supported by the cultural alignment programme and determining employee views on culture.  </w:t>
            </w:r>
            <w:r w:rsidR="00E10514" w:rsidRPr="00AD7333">
              <w:rPr>
                <w:rFonts w:cstheme="minorHAnsi"/>
                <w:sz w:val="22"/>
                <w:szCs w:val="22"/>
              </w:rPr>
              <w:t xml:space="preserve"> </w:t>
            </w:r>
          </w:p>
          <w:p w14:paraId="1D1AD241" w14:textId="77777777" w:rsidR="00476A1A" w:rsidRPr="00AD7333" w:rsidRDefault="00476A1A" w:rsidP="00AD7333">
            <w:pPr>
              <w:jc w:val="both"/>
              <w:rPr>
                <w:rFonts w:cstheme="minorHAnsi"/>
                <w:sz w:val="22"/>
                <w:szCs w:val="22"/>
              </w:rPr>
            </w:pPr>
          </w:p>
          <w:p w14:paraId="39BABAEF" w14:textId="6EAD064B" w:rsidR="00A1213D" w:rsidRPr="00AD7333" w:rsidRDefault="001A744E" w:rsidP="00AD7333">
            <w:pPr>
              <w:jc w:val="both"/>
              <w:rPr>
                <w:rFonts w:cstheme="minorHAnsi"/>
                <w:sz w:val="22"/>
                <w:szCs w:val="22"/>
              </w:rPr>
            </w:pPr>
            <w:r w:rsidRPr="00AD7333">
              <w:rPr>
                <w:rFonts w:cstheme="minorHAnsi"/>
                <w:sz w:val="22"/>
                <w:szCs w:val="22"/>
              </w:rPr>
              <w:t>The DHRP further advised that the ODEP had been developed to support the Group in being sector leading employer.</w:t>
            </w:r>
            <w:r w:rsidR="00E10514" w:rsidRPr="00AD7333">
              <w:rPr>
                <w:rFonts w:cstheme="minorHAnsi"/>
                <w:sz w:val="22"/>
                <w:szCs w:val="22"/>
              </w:rPr>
              <w:t xml:space="preserve"> </w:t>
            </w:r>
          </w:p>
          <w:p w14:paraId="29575EEF" w14:textId="4AE13FD3" w:rsidR="00A1213D" w:rsidRPr="00AD7333" w:rsidRDefault="00A1213D" w:rsidP="00AD7333">
            <w:pPr>
              <w:jc w:val="both"/>
              <w:rPr>
                <w:rFonts w:cstheme="minorHAnsi"/>
                <w:sz w:val="22"/>
                <w:szCs w:val="22"/>
              </w:rPr>
            </w:pPr>
          </w:p>
          <w:p w14:paraId="3E5A5798" w14:textId="06A46925" w:rsidR="00B970AB" w:rsidRPr="00AD7333" w:rsidRDefault="00B970AB" w:rsidP="00AD7333">
            <w:pPr>
              <w:jc w:val="both"/>
              <w:rPr>
                <w:rFonts w:cstheme="minorHAnsi"/>
                <w:sz w:val="22"/>
                <w:szCs w:val="22"/>
              </w:rPr>
            </w:pPr>
            <w:r w:rsidRPr="00AD7333">
              <w:rPr>
                <w:rFonts w:cstheme="minorHAnsi"/>
                <w:sz w:val="22"/>
                <w:szCs w:val="22"/>
              </w:rPr>
              <w:t>Questions and comments from members were invited.</w:t>
            </w:r>
          </w:p>
          <w:p w14:paraId="5306E67D" w14:textId="77777777" w:rsidR="00B970AB" w:rsidRPr="00AD7333" w:rsidRDefault="00B970AB" w:rsidP="00AD7333">
            <w:pPr>
              <w:jc w:val="both"/>
              <w:rPr>
                <w:rFonts w:cstheme="minorHAnsi"/>
                <w:sz w:val="22"/>
                <w:szCs w:val="22"/>
              </w:rPr>
            </w:pPr>
          </w:p>
          <w:p w14:paraId="74D1CEEE" w14:textId="48903FEF" w:rsidR="00024077" w:rsidRPr="00AD7333" w:rsidRDefault="00A906C2" w:rsidP="00477AC2">
            <w:pPr>
              <w:pStyle w:val="ListParagraph"/>
              <w:numPr>
                <w:ilvl w:val="0"/>
                <w:numId w:val="2"/>
              </w:numPr>
              <w:ind w:left="395" w:hanging="395"/>
              <w:jc w:val="both"/>
              <w:rPr>
                <w:rFonts w:cstheme="minorHAnsi"/>
                <w:sz w:val="22"/>
                <w:szCs w:val="22"/>
              </w:rPr>
            </w:pPr>
            <w:r w:rsidRPr="00AD7333">
              <w:rPr>
                <w:rFonts w:cstheme="minorHAnsi"/>
                <w:sz w:val="22"/>
                <w:szCs w:val="22"/>
              </w:rPr>
              <w:t>A question was asked by a member in relation to the reporting</w:t>
            </w:r>
            <w:r w:rsidR="00024077" w:rsidRPr="00AD7333">
              <w:rPr>
                <w:rFonts w:cstheme="minorHAnsi"/>
                <w:sz w:val="22"/>
                <w:szCs w:val="22"/>
              </w:rPr>
              <w:t xml:space="preserve"> and update</w:t>
            </w:r>
            <w:r w:rsidRPr="00AD7333">
              <w:rPr>
                <w:rFonts w:cstheme="minorHAnsi"/>
                <w:sz w:val="22"/>
                <w:szCs w:val="22"/>
              </w:rPr>
              <w:t xml:space="preserve"> arrangements</w:t>
            </w:r>
            <w:r w:rsidR="00024077" w:rsidRPr="00AD7333">
              <w:rPr>
                <w:rFonts w:cstheme="minorHAnsi"/>
                <w:sz w:val="22"/>
                <w:szCs w:val="22"/>
              </w:rPr>
              <w:t>.</w:t>
            </w:r>
          </w:p>
          <w:p w14:paraId="056AC54D" w14:textId="77777777" w:rsidR="00024077" w:rsidRPr="00AD7333" w:rsidRDefault="00024077" w:rsidP="00AD7333">
            <w:pPr>
              <w:pStyle w:val="ListParagraph"/>
              <w:ind w:left="1080"/>
              <w:jc w:val="both"/>
              <w:rPr>
                <w:rFonts w:cstheme="minorHAnsi"/>
                <w:sz w:val="22"/>
                <w:szCs w:val="22"/>
              </w:rPr>
            </w:pPr>
          </w:p>
          <w:p w14:paraId="314CBBCB" w14:textId="4456125A" w:rsidR="00024077" w:rsidRPr="00AD7333" w:rsidRDefault="00024077"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w:t>
            </w:r>
            <w:r w:rsidRPr="00AD7333">
              <w:rPr>
                <w:rFonts w:cstheme="minorHAnsi"/>
                <w:sz w:val="22"/>
                <w:szCs w:val="22"/>
              </w:rPr>
              <w:t>HRP confirmed that a progress report would be provided to the Committee and Board of the Corporation at the end of the academic year.</w:t>
            </w:r>
            <w:r w:rsidR="002026B9" w:rsidRPr="00AD7333">
              <w:rPr>
                <w:rFonts w:cstheme="minorHAnsi"/>
                <w:sz w:val="22"/>
                <w:szCs w:val="22"/>
              </w:rPr>
              <w:t xml:space="preserve">  The Vice-Principal Corporate </w:t>
            </w:r>
            <w:r w:rsidR="002026B9" w:rsidRPr="00AD7333">
              <w:rPr>
                <w:rFonts w:cstheme="minorHAnsi"/>
                <w:sz w:val="22"/>
                <w:szCs w:val="22"/>
              </w:rPr>
              <w:lastRenderedPageBreak/>
              <w:t xml:space="preserve">Services and Planning (VPCSP) clarified that an update report would be presented to the 29 June 2022 meeting of the Resources Committee which would also include a report on outcomes and proposals for the next academic year. </w:t>
            </w:r>
          </w:p>
          <w:p w14:paraId="67CD1723" w14:textId="77777777" w:rsidR="00024077" w:rsidRPr="00AD7333" w:rsidRDefault="00024077" w:rsidP="00AD7333">
            <w:pPr>
              <w:pStyle w:val="ListParagraph"/>
              <w:jc w:val="both"/>
              <w:rPr>
                <w:rFonts w:cstheme="minorHAnsi"/>
                <w:sz w:val="22"/>
                <w:szCs w:val="22"/>
              </w:rPr>
            </w:pPr>
          </w:p>
          <w:p w14:paraId="0C5289F9" w14:textId="00AAF1F8" w:rsidR="00024077" w:rsidRPr="00AD7333" w:rsidRDefault="00024077" w:rsidP="00477AC2">
            <w:pPr>
              <w:pStyle w:val="ListParagraph"/>
              <w:numPr>
                <w:ilvl w:val="0"/>
                <w:numId w:val="2"/>
              </w:numPr>
              <w:ind w:left="395" w:hanging="425"/>
              <w:jc w:val="both"/>
              <w:rPr>
                <w:rFonts w:cstheme="minorHAnsi"/>
                <w:sz w:val="22"/>
                <w:szCs w:val="22"/>
              </w:rPr>
            </w:pPr>
            <w:r w:rsidRPr="00AD7333">
              <w:rPr>
                <w:rFonts w:cstheme="minorHAnsi"/>
                <w:sz w:val="22"/>
                <w:szCs w:val="22"/>
              </w:rPr>
              <w:t xml:space="preserve">A member stated that it was pleasing to see the actions in </w:t>
            </w:r>
            <w:r w:rsidR="00E2309B" w:rsidRPr="00AD7333">
              <w:rPr>
                <w:rFonts w:cstheme="minorHAnsi"/>
                <w:sz w:val="22"/>
                <w:szCs w:val="22"/>
              </w:rPr>
              <w:t xml:space="preserve">the </w:t>
            </w:r>
            <w:r w:rsidR="00FF718E" w:rsidRPr="00AD7333">
              <w:rPr>
                <w:rFonts w:cstheme="minorHAnsi"/>
                <w:sz w:val="22"/>
                <w:szCs w:val="22"/>
              </w:rPr>
              <w:t>ODEP</w:t>
            </w:r>
            <w:r w:rsidRPr="00AD7333">
              <w:rPr>
                <w:rFonts w:cstheme="minorHAnsi"/>
                <w:sz w:val="22"/>
                <w:szCs w:val="22"/>
              </w:rPr>
              <w:t xml:space="preserve"> in relation to autism.  It was asked if there were any planned activities in the future in relation to </w:t>
            </w:r>
            <w:r w:rsidR="00FF718E" w:rsidRPr="00AD7333">
              <w:rPr>
                <w:rFonts w:cstheme="minorHAnsi"/>
                <w:sz w:val="22"/>
                <w:szCs w:val="22"/>
              </w:rPr>
              <w:t>attention deficit hyperactivity disorder (</w:t>
            </w:r>
            <w:r w:rsidR="006A3847" w:rsidRPr="00AD7333">
              <w:rPr>
                <w:rFonts w:cstheme="minorHAnsi"/>
                <w:sz w:val="22"/>
                <w:szCs w:val="22"/>
              </w:rPr>
              <w:t>ADHD</w:t>
            </w:r>
            <w:r w:rsidR="00FF718E" w:rsidRPr="00AD7333">
              <w:rPr>
                <w:rFonts w:cstheme="minorHAnsi"/>
                <w:sz w:val="22"/>
                <w:szCs w:val="22"/>
              </w:rPr>
              <w:t>)</w:t>
            </w:r>
            <w:r w:rsidRPr="00AD7333">
              <w:rPr>
                <w:rFonts w:cstheme="minorHAnsi"/>
                <w:sz w:val="22"/>
                <w:szCs w:val="22"/>
              </w:rPr>
              <w:t>.</w:t>
            </w:r>
          </w:p>
          <w:p w14:paraId="3F132437" w14:textId="77777777" w:rsidR="00024077" w:rsidRPr="00AD7333" w:rsidRDefault="00024077" w:rsidP="00AD7333">
            <w:pPr>
              <w:pStyle w:val="ListParagraph"/>
              <w:ind w:left="1080"/>
              <w:jc w:val="both"/>
              <w:rPr>
                <w:rFonts w:cstheme="minorHAnsi"/>
                <w:sz w:val="22"/>
                <w:szCs w:val="22"/>
              </w:rPr>
            </w:pPr>
          </w:p>
          <w:p w14:paraId="17F49C4A" w14:textId="4988A495" w:rsidR="00024077" w:rsidRPr="00AD7333" w:rsidRDefault="00024077"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w:t>
            </w:r>
            <w:r w:rsidRPr="00AD7333">
              <w:rPr>
                <w:rFonts w:cstheme="minorHAnsi"/>
                <w:sz w:val="22"/>
                <w:szCs w:val="22"/>
              </w:rPr>
              <w:t xml:space="preserve">HRP responded that a number of </w:t>
            </w:r>
            <w:r w:rsidR="00FF718E" w:rsidRPr="00AD7333">
              <w:rPr>
                <w:rFonts w:cstheme="minorHAnsi"/>
                <w:sz w:val="22"/>
                <w:szCs w:val="22"/>
              </w:rPr>
              <w:t xml:space="preserve">Tier 2 </w:t>
            </w:r>
            <w:r w:rsidR="006A3847" w:rsidRPr="00AD7333">
              <w:rPr>
                <w:rFonts w:cstheme="minorHAnsi"/>
                <w:sz w:val="22"/>
                <w:szCs w:val="22"/>
              </w:rPr>
              <w:t xml:space="preserve">CPD activities were planned in relation to autism.  The </w:t>
            </w:r>
            <w:r w:rsidR="00E2309B" w:rsidRPr="00AD7333">
              <w:rPr>
                <w:rFonts w:cstheme="minorHAnsi"/>
                <w:sz w:val="22"/>
                <w:szCs w:val="22"/>
              </w:rPr>
              <w:t>D</w:t>
            </w:r>
            <w:r w:rsidR="006A3847" w:rsidRPr="00AD7333">
              <w:rPr>
                <w:rFonts w:cstheme="minorHAnsi"/>
                <w:sz w:val="22"/>
                <w:szCs w:val="22"/>
              </w:rPr>
              <w:t xml:space="preserve">HRP highlighted an initiative which </w:t>
            </w:r>
            <w:r w:rsidR="002026B9" w:rsidRPr="00AD7333">
              <w:rPr>
                <w:rFonts w:cstheme="minorHAnsi"/>
                <w:sz w:val="22"/>
                <w:szCs w:val="22"/>
              </w:rPr>
              <w:t xml:space="preserve">arose from </w:t>
            </w:r>
            <w:r w:rsidR="006A3847" w:rsidRPr="00AD7333">
              <w:rPr>
                <w:rFonts w:cstheme="minorHAnsi"/>
                <w:sz w:val="22"/>
                <w:szCs w:val="22"/>
              </w:rPr>
              <w:t xml:space="preserve">a member of staff coming forward </w:t>
            </w:r>
            <w:r w:rsidR="002026B9" w:rsidRPr="00AD7333">
              <w:rPr>
                <w:rFonts w:cstheme="minorHAnsi"/>
                <w:sz w:val="22"/>
                <w:szCs w:val="22"/>
              </w:rPr>
              <w:t xml:space="preserve">and </w:t>
            </w:r>
            <w:r w:rsidR="006A3847" w:rsidRPr="00AD7333">
              <w:rPr>
                <w:rFonts w:cstheme="minorHAnsi"/>
                <w:sz w:val="22"/>
                <w:szCs w:val="22"/>
              </w:rPr>
              <w:t>who had subsequently delivered a “day in the life” talk to staff</w:t>
            </w:r>
            <w:r w:rsidR="002026B9" w:rsidRPr="00AD7333">
              <w:rPr>
                <w:rFonts w:cstheme="minorHAnsi"/>
                <w:sz w:val="22"/>
                <w:szCs w:val="22"/>
              </w:rPr>
              <w:t xml:space="preserve"> and</w:t>
            </w:r>
            <w:r w:rsidR="006A3847" w:rsidRPr="00AD7333">
              <w:rPr>
                <w:rFonts w:cstheme="minorHAnsi"/>
                <w:sz w:val="22"/>
                <w:szCs w:val="22"/>
              </w:rPr>
              <w:t xml:space="preserve"> creat</w:t>
            </w:r>
            <w:r w:rsidR="002026B9" w:rsidRPr="00AD7333">
              <w:rPr>
                <w:rFonts w:cstheme="minorHAnsi"/>
                <w:sz w:val="22"/>
                <w:szCs w:val="22"/>
              </w:rPr>
              <w:t>ed</w:t>
            </w:r>
            <w:r w:rsidR="006A3847" w:rsidRPr="00AD7333">
              <w:rPr>
                <w:rFonts w:cstheme="minorHAnsi"/>
                <w:sz w:val="22"/>
                <w:szCs w:val="22"/>
              </w:rPr>
              <w:t xml:space="preserve"> videos that could be shared</w:t>
            </w:r>
            <w:r w:rsidR="002026B9" w:rsidRPr="00AD7333">
              <w:rPr>
                <w:rFonts w:cstheme="minorHAnsi"/>
                <w:sz w:val="22"/>
                <w:szCs w:val="22"/>
              </w:rPr>
              <w:t xml:space="preserve"> with staff</w:t>
            </w:r>
            <w:r w:rsidR="006A3847" w:rsidRPr="00AD7333">
              <w:rPr>
                <w:rFonts w:cstheme="minorHAnsi"/>
                <w:sz w:val="22"/>
                <w:szCs w:val="22"/>
              </w:rPr>
              <w:t xml:space="preserve">.  The </w:t>
            </w:r>
            <w:r w:rsidR="00E2309B" w:rsidRPr="00AD7333">
              <w:rPr>
                <w:rFonts w:cstheme="minorHAnsi"/>
                <w:sz w:val="22"/>
                <w:szCs w:val="22"/>
              </w:rPr>
              <w:t>D</w:t>
            </w:r>
            <w:r w:rsidR="006A3847" w:rsidRPr="00AD7333">
              <w:rPr>
                <w:rFonts w:cstheme="minorHAnsi"/>
                <w:sz w:val="22"/>
                <w:szCs w:val="22"/>
              </w:rPr>
              <w:t>HRP further indic</w:t>
            </w:r>
            <w:r w:rsidR="002026B9" w:rsidRPr="00AD7333">
              <w:rPr>
                <w:rFonts w:cstheme="minorHAnsi"/>
                <w:sz w:val="22"/>
                <w:szCs w:val="22"/>
              </w:rPr>
              <w:t>a</w:t>
            </w:r>
            <w:r w:rsidR="006A3847" w:rsidRPr="00AD7333">
              <w:rPr>
                <w:rFonts w:cstheme="minorHAnsi"/>
                <w:sz w:val="22"/>
                <w:szCs w:val="22"/>
              </w:rPr>
              <w:t>ted that as part of the work from the Equality, Diversity and Inclusion Strategy</w:t>
            </w:r>
            <w:r w:rsidR="00FF718E" w:rsidRPr="00AD7333">
              <w:rPr>
                <w:rFonts w:cstheme="minorHAnsi"/>
                <w:sz w:val="22"/>
                <w:szCs w:val="22"/>
              </w:rPr>
              <w:t xml:space="preserve"> (EDIS)</w:t>
            </w:r>
            <w:r w:rsidR="006A3847" w:rsidRPr="00AD7333">
              <w:rPr>
                <w:rFonts w:cstheme="minorHAnsi"/>
                <w:sz w:val="22"/>
                <w:szCs w:val="22"/>
              </w:rPr>
              <w:t xml:space="preserve"> there was likely to be an expansion in terms of the programmes around aspects encompassing autism and ADHD.</w:t>
            </w:r>
          </w:p>
          <w:p w14:paraId="7A076280" w14:textId="14E17C81" w:rsidR="00705D2E" w:rsidRPr="00AD7333" w:rsidRDefault="00705D2E" w:rsidP="00AD7333">
            <w:pPr>
              <w:jc w:val="both"/>
              <w:rPr>
                <w:rFonts w:cstheme="minorHAnsi"/>
                <w:sz w:val="22"/>
                <w:szCs w:val="22"/>
              </w:rPr>
            </w:pPr>
          </w:p>
          <w:p w14:paraId="66FE1A15" w14:textId="77777777" w:rsidR="00BF05C5" w:rsidRPr="00AD7333" w:rsidRDefault="002026B9" w:rsidP="00477AC2">
            <w:pPr>
              <w:pStyle w:val="ListParagraph"/>
              <w:numPr>
                <w:ilvl w:val="0"/>
                <w:numId w:val="2"/>
              </w:numPr>
              <w:ind w:left="395" w:hanging="395"/>
              <w:jc w:val="both"/>
              <w:rPr>
                <w:rFonts w:cstheme="minorHAnsi"/>
                <w:sz w:val="22"/>
                <w:szCs w:val="22"/>
              </w:rPr>
            </w:pPr>
            <w:r w:rsidRPr="00AD7333">
              <w:rPr>
                <w:rFonts w:cstheme="minorHAnsi"/>
                <w:sz w:val="22"/>
                <w:szCs w:val="22"/>
              </w:rPr>
              <w:t xml:space="preserve">A member commented on the three key delivery areas </w:t>
            </w:r>
            <w:r w:rsidR="00BF05C5" w:rsidRPr="00AD7333">
              <w:rPr>
                <w:rFonts w:cstheme="minorHAnsi"/>
                <w:sz w:val="22"/>
                <w:szCs w:val="22"/>
              </w:rPr>
              <w:t xml:space="preserve">aligned to the Group’s Strategic Plan and as </w:t>
            </w:r>
            <w:r w:rsidRPr="00AD7333">
              <w:rPr>
                <w:rFonts w:cstheme="minorHAnsi"/>
                <w:sz w:val="22"/>
                <w:szCs w:val="22"/>
              </w:rPr>
              <w:t xml:space="preserve">outlined at the beginning of the </w:t>
            </w:r>
            <w:r w:rsidR="00BF05C5" w:rsidRPr="00AD7333">
              <w:rPr>
                <w:rFonts w:cstheme="minorHAnsi"/>
                <w:sz w:val="22"/>
                <w:szCs w:val="22"/>
              </w:rPr>
              <w:t>document.  It was a</w:t>
            </w:r>
            <w:r w:rsidRPr="00AD7333">
              <w:rPr>
                <w:rFonts w:cstheme="minorHAnsi"/>
                <w:sz w:val="22"/>
                <w:szCs w:val="22"/>
              </w:rPr>
              <w:t xml:space="preserve">sked </w:t>
            </w:r>
            <w:r w:rsidR="00BF05C5" w:rsidRPr="00AD7333">
              <w:rPr>
                <w:rFonts w:cstheme="minorHAnsi"/>
                <w:sz w:val="22"/>
                <w:szCs w:val="22"/>
              </w:rPr>
              <w:t xml:space="preserve">as to what the </w:t>
            </w:r>
            <w:r w:rsidRPr="00AD7333">
              <w:rPr>
                <w:rFonts w:cstheme="minorHAnsi"/>
                <w:sz w:val="22"/>
                <w:szCs w:val="22"/>
              </w:rPr>
              <w:t>transformation relationships with employers</w:t>
            </w:r>
            <w:r w:rsidR="00BF05C5" w:rsidRPr="00AD7333">
              <w:rPr>
                <w:rFonts w:cstheme="minorHAnsi"/>
                <w:sz w:val="22"/>
                <w:szCs w:val="22"/>
              </w:rPr>
              <w:t xml:space="preserve"> would feed into.</w:t>
            </w:r>
          </w:p>
          <w:p w14:paraId="7CDDB159" w14:textId="77777777" w:rsidR="00BF05C5" w:rsidRPr="00AD7333" w:rsidRDefault="00BF05C5" w:rsidP="00AD7333">
            <w:pPr>
              <w:jc w:val="both"/>
              <w:rPr>
                <w:rFonts w:cstheme="minorHAnsi"/>
                <w:sz w:val="22"/>
                <w:szCs w:val="22"/>
              </w:rPr>
            </w:pPr>
          </w:p>
          <w:p w14:paraId="22477DF8" w14:textId="12BB81A3" w:rsidR="00C26F48" w:rsidRPr="00AD7333" w:rsidRDefault="00BF05C5" w:rsidP="00AD7333">
            <w:pPr>
              <w:jc w:val="both"/>
              <w:rPr>
                <w:rFonts w:cstheme="minorHAnsi"/>
                <w:sz w:val="22"/>
                <w:szCs w:val="22"/>
              </w:rPr>
            </w:pPr>
            <w:r w:rsidRPr="00AD7333">
              <w:rPr>
                <w:rFonts w:cstheme="minorHAnsi"/>
                <w:sz w:val="22"/>
                <w:szCs w:val="22"/>
              </w:rPr>
              <w:t xml:space="preserve">The </w:t>
            </w:r>
            <w:r w:rsidR="00EA0F3C" w:rsidRPr="00AD7333">
              <w:rPr>
                <w:rFonts w:cstheme="minorHAnsi"/>
                <w:sz w:val="22"/>
                <w:szCs w:val="22"/>
              </w:rPr>
              <w:t>D</w:t>
            </w:r>
            <w:r w:rsidRPr="00AD7333">
              <w:rPr>
                <w:rFonts w:cstheme="minorHAnsi"/>
                <w:sz w:val="22"/>
                <w:szCs w:val="22"/>
              </w:rPr>
              <w:t>HRP responded that a programme was being developed</w:t>
            </w:r>
            <w:r w:rsidR="00FF718E" w:rsidRPr="00AD7333">
              <w:rPr>
                <w:rFonts w:cstheme="minorHAnsi"/>
                <w:sz w:val="22"/>
                <w:szCs w:val="22"/>
              </w:rPr>
              <w:t xml:space="preserve"> called LEAP</w:t>
            </w:r>
            <w:r w:rsidRPr="00AD7333">
              <w:rPr>
                <w:rFonts w:cstheme="minorHAnsi"/>
                <w:sz w:val="22"/>
                <w:szCs w:val="22"/>
              </w:rPr>
              <w:t xml:space="preserve"> around employer engagement and would be available to staff within this area as well as via </w:t>
            </w:r>
            <w:r w:rsidR="00FF718E" w:rsidRPr="00AD7333">
              <w:rPr>
                <w:rFonts w:cstheme="minorHAnsi"/>
                <w:sz w:val="22"/>
                <w:szCs w:val="22"/>
              </w:rPr>
              <w:t>Tier 2 CPD and would be embedded throughout the Group</w:t>
            </w:r>
            <w:r w:rsidRPr="00AD7333">
              <w:rPr>
                <w:rFonts w:cstheme="minorHAnsi"/>
                <w:sz w:val="22"/>
                <w:szCs w:val="22"/>
              </w:rPr>
              <w:t xml:space="preserve">. </w:t>
            </w:r>
          </w:p>
          <w:p w14:paraId="5C190C1D" w14:textId="77777777" w:rsidR="00C26F48" w:rsidRPr="00AD7333" w:rsidRDefault="00C26F48" w:rsidP="00AD7333">
            <w:pPr>
              <w:jc w:val="both"/>
              <w:rPr>
                <w:rFonts w:cstheme="minorHAnsi"/>
                <w:sz w:val="22"/>
                <w:szCs w:val="22"/>
              </w:rPr>
            </w:pPr>
          </w:p>
          <w:p w14:paraId="293CEED6" w14:textId="5FA40CB8" w:rsidR="00C26F48" w:rsidRPr="00AD7333" w:rsidRDefault="00E25C23" w:rsidP="00AD7333">
            <w:pPr>
              <w:jc w:val="both"/>
              <w:rPr>
                <w:rFonts w:cstheme="minorHAnsi"/>
                <w:b/>
                <w:bCs/>
                <w:sz w:val="22"/>
                <w:szCs w:val="22"/>
              </w:rPr>
            </w:pPr>
            <w:r w:rsidRPr="00AD7333">
              <w:rPr>
                <w:rFonts w:cstheme="minorHAnsi"/>
                <w:b/>
                <w:bCs/>
                <w:sz w:val="22"/>
                <w:szCs w:val="22"/>
              </w:rPr>
              <w:t>There were no further questions or issues raised by members and following due consideration and discussion it was resolved that the Organisational Development and Engagement Plan 2021/2022 update be received and noted.</w:t>
            </w:r>
          </w:p>
          <w:p w14:paraId="5BEEDE68" w14:textId="1CAE40BA" w:rsidR="002F1537" w:rsidRPr="00AD7333" w:rsidRDefault="002F1537" w:rsidP="00AD7333">
            <w:pPr>
              <w:jc w:val="both"/>
              <w:rPr>
                <w:rFonts w:cstheme="minorHAnsi"/>
                <w:sz w:val="22"/>
                <w:szCs w:val="22"/>
              </w:rPr>
            </w:pPr>
          </w:p>
        </w:tc>
      </w:tr>
      <w:tr w:rsidR="0020685E" w:rsidRPr="00AD7333" w14:paraId="4897CF43" w14:textId="77777777" w:rsidTr="00AD7333">
        <w:tc>
          <w:tcPr>
            <w:tcW w:w="767" w:type="pct"/>
          </w:tcPr>
          <w:p w14:paraId="4DE10340" w14:textId="145EAE2D" w:rsidR="0020685E" w:rsidRPr="00AD7333" w:rsidRDefault="002F1537" w:rsidP="00AD7333">
            <w:pPr>
              <w:jc w:val="both"/>
              <w:rPr>
                <w:rFonts w:cstheme="minorHAnsi"/>
                <w:b/>
                <w:sz w:val="22"/>
                <w:szCs w:val="22"/>
              </w:rPr>
            </w:pPr>
            <w:r w:rsidRPr="00AD7333">
              <w:rPr>
                <w:rFonts w:cstheme="minorHAnsi"/>
                <w:b/>
                <w:sz w:val="22"/>
                <w:szCs w:val="22"/>
              </w:rPr>
              <w:lastRenderedPageBreak/>
              <w:t>RES/08/22</w:t>
            </w:r>
          </w:p>
        </w:tc>
        <w:tc>
          <w:tcPr>
            <w:tcW w:w="4233" w:type="pct"/>
          </w:tcPr>
          <w:p w14:paraId="789741D0" w14:textId="77777777" w:rsidR="00455921" w:rsidRPr="00AD7333" w:rsidRDefault="002F1537" w:rsidP="00AD7333">
            <w:pPr>
              <w:jc w:val="both"/>
              <w:rPr>
                <w:rFonts w:cstheme="minorHAnsi"/>
                <w:sz w:val="22"/>
                <w:szCs w:val="22"/>
              </w:rPr>
            </w:pPr>
            <w:r w:rsidRPr="00AD7333">
              <w:rPr>
                <w:rFonts w:cstheme="minorHAnsi"/>
                <w:b/>
                <w:bCs/>
                <w:sz w:val="22"/>
                <w:szCs w:val="22"/>
              </w:rPr>
              <w:t>Employment Relations Update</w:t>
            </w:r>
          </w:p>
          <w:p w14:paraId="5E20BDF0" w14:textId="74765B79" w:rsidR="002F1537" w:rsidRPr="00AD7333" w:rsidRDefault="002F1537" w:rsidP="00AD7333">
            <w:pPr>
              <w:jc w:val="both"/>
              <w:rPr>
                <w:rFonts w:cstheme="minorHAnsi"/>
                <w:sz w:val="22"/>
                <w:szCs w:val="22"/>
              </w:rPr>
            </w:pPr>
          </w:p>
          <w:p w14:paraId="0451D787" w14:textId="0E32C6DE" w:rsidR="003408E4" w:rsidRPr="00AD7333" w:rsidRDefault="003408E4" w:rsidP="00AD7333">
            <w:pPr>
              <w:jc w:val="both"/>
              <w:rPr>
                <w:rFonts w:cstheme="minorHAnsi"/>
                <w:sz w:val="22"/>
                <w:szCs w:val="22"/>
              </w:rPr>
            </w:pPr>
            <w:r w:rsidRPr="00AD7333">
              <w:rPr>
                <w:rFonts w:cstheme="minorHAnsi"/>
                <w:sz w:val="22"/>
                <w:szCs w:val="22"/>
              </w:rPr>
              <w:t>The VPCSP referred members to the previously circulated report and an update on employee relations.</w:t>
            </w:r>
          </w:p>
          <w:p w14:paraId="4D03E081" w14:textId="28C894FF" w:rsidR="003408E4" w:rsidRPr="00AD7333" w:rsidRDefault="003408E4" w:rsidP="00AD7333">
            <w:pPr>
              <w:jc w:val="both"/>
              <w:rPr>
                <w:rFonts w:cstheme="minorHAnsi"/>
                <w:sz w:val="22"/>
                <w:szCs w:val="22"/>
              </w:rPr>
            </w:pPr>
          </w:p>
          <w:p w14:paraId="5349FB65" w14:textId="71B009E8" w:rsidR="00767145" w:rsidRPr="00AD7333" w:rsidRDefault="003408E4" w:rsidP="00AD7333">
            <w:pPr>
              <w:jc w:val="both"/>
              <w:rPr>
                <w:rFonts w:cstheme="minorHAnsi"/>
                <w:sz w:val="22"/>
                <w:szCs w:val="22"/>
              </w:rPr>
            </w:pPr>
            <w:r w:rsidRPr="00AD7333">
              <w:rPr>
                <w:rFonts w:cstheme="minorHAnsi"/>
                <w:sz w:val="22"/>
                <w:szCs w:val="22"/>
              </w:rPr>
              <w:t>The</w:t>
            </w:r>
            <w:r w:rsidR="00767145" w:rsidRPr="00AD7333">
              <w:rPr>
                <w:rFonts w:cstheme="minorHAnsi"/>
                <w:sz w:val="22"/>
                <w:szCs w:val="22"/>
              </w:rPr>
              <w:t xml:space="preserve"> VPC</w:t>
            </w:r>
            <w:r w:rsidR="000C5152" w:rsidRPr="00AD7333">
              <w:rPr>
                <w:rFonts w:cstheme="minorHAnsi"/>
                <w:sz w:val="22"/>
                <w:szCs w:val="22"/>
              </w:rPr>
              <w:t>S</w:t>
            </w:r>
            <w:r w:rsidR="00767145" w:rsidRPr="00AD7333">
              <w:rPr>
                <w:rFonts w:cstheme="minorHAnsi"/>
                <w:sz w:val="22"/>
                <w:szCs w:val="22"/>
              </w:rPr>
              <w:t>P reported that the main focus of the report related to the Group pay offer which was in two parts:</w:t>
            </w:r>
          </w:p>
          <w:p w14:paraId="62F39F44" w14:textId="77777777" w:rsidR="00767145" w:rsidRPr="00AD7333" w:rsidRDefault="00767145" w:rsidP="00AD7333">
            <w:pPr>
              <w:jc w:val="both"/>
              <w:rPr>
                <w:rFonts w:cstheme="minorHAnsi"/>
                <w:sz w:val="22"/>
                <w:szCs w:val="22"/>
              </w:rPr>
            </w:pPr>
          </w:p>
          <w:p w14:paraId="12166094" w14:textId="55137B72" w:rsidR="00767145" w:rsidRPr="00AD7333" w:rsidRDefault="00767145" w:rsidP="00477AC2">
            <w:pPr>
              <w:pStyle w:val="ListParagraph"/>
              <w:numPr>
                <w:ilvl w:val="1"/>
                <w:numId w:val="1"/>
              </w:numPr>
              <w:ind w:left="395" w:hanging="395"/>
              <w:jc w:val="both"/>
              <w:rPr>
                <w:rFonts w:cstheme="minorHAnsi"/>
                <w:sz w:val="22"/>
                <w:szCs w:val="22"/>
              </w:rPr>
            </w:pPr>
            <w:r w:rsidRPr="00AD7333">
              <w:rPr>
                <w:rFonts w:cstheme="minorHAnsi"/>
                <w:sz w:val="22"/>
                <w:szCs w:val="22"/>
              </w:rPr>
              <w:t>pay award for 2021/2022</w:t>
            </w:r>
          </w:p>
          <w:p w14:paraId="67739D6E" w14:textId="5A6B59AA" w:rsidR="00767145" w:rsidRPr="00AD7333" w:rsidRDefault="00767145" w:rsidP="00477AC2">
            <w:pPr>
              <w:pStyle w:val="ListParagraph"/>
              <w:numPr>
                <w:ilvl w:val="1"/>
                <w:numId w:val="1"/>
              </w:numPr>
              <w:ind w:left="395" w:hanging="395"/>
              <w:jc w:val="both"/>
              <w:rPr>
                <w:rFonts w:cstheme="minorHAnsi"/>
                <w:sz w:val="22"/>
                <w:szCs w:val="22"/>
              </w:rPr>
            </w:pPr>
            <w:r w:rsidRPr="00AD7333">
              <w:rPr>
                <w:rFonts w:cstheme="minorHAnsi"/>
                <w:sz w:val="22"/>
                <w:szCs w:val="22"/>
              </w:rPr>
              <w:t>Group pay scale realignment proposals.</w:t>
            </w:r>
          </w:p>
          <w:p w14:paraId="635BA692" w14:textId="610F8B04" w:rsidR="00767145" w:rsidRPr="00AD7333" w:rsidRDefault="00767145" w:rsidP="00AD7333">
            <w:pPr>
              <w:jc w:val="both"/>
              <w:rPr>
                <w:rFonts w:cstheme="minorHAnsi"/>
                <w:sz w:val="22"/>
                <w:szCs w:val="22"/>
              </w:rPr>
            </w:pPr>
          </w:p>
          <w:p w14:paraId="0D3A34E0" w14:textId="1AD5BB84" w:rsidR="00F0406A" w:rsidRPr="00AD7333" w:rsidRDefault="00767145" w:rsidP="00AD7333">
            <w:pPr>
              <w:jc w:val="both"/>
              <w:rPr>
                <w:rFonts w:cstheme="minorHAnsi"/>
                <w:sz w:val="22"/>
                <w:szCs w:val="22"/>
              </w:rPr>
            </w:pPr>
            <w:r w:rsidRPr="00AD7333">
              <w:rPr>
                <w:rFonts w:cstheme="minorHAnsi"/>
                <w:sz w:val="22"/>
                <w:szCs w:val="22"/>
              </w:rPr>
              <w:t xml:space="preserve">There was confirmation that the </w:t>
            </w:r>
            <w:r w:rsidR="00F0406A" w:rsidRPr="00AD7333">
              <w:rPr>
                <w:rFonts w:cstheme="minorHAnsi"/>
                <w:sz w:val="22"/>
                <w:szCs w:val="22"/>
              </w:rPr>
              <w:t xml:space="preserve">Group’s </w:t>
            </w:r>
            <w:r w:rsidRPr="00AD7333">
              <w:rPr>
                <w:rFonts w:cstheme="minorHAnsi"/>
                <w:sz w:val="22"/>
                <w:szCs w:val="22"/>
              </w:rPr>
              <w:t xml:space="preserve">pay award </w:t>
            </w:r>
            <w:r w:rsidR="00F0406A" w:rsidRPr="00AD7333">
              <w:rPr>
                <w:rFonts w:cstheme="minorHAnsi"/>
                <w:sz w:val="22"/>
                <w:szCs w:val="22"/>
              </w:rPr>
              <w:t>offer</w:t>
            </w:r>
            <w:r w:rsidRPr="00AD7333">
              <w:rPr>
                <w:rFonts w:cstheme="minorHAnsi"/>
                <w:sz w:val="22"/>
                <w:szCs w:val="22"/>
              </w:rPr>
              <w:t xml:space="preserve"> for 2021/2022 </w:t>
            </w:r>
            <w:r w:rsidR="00F0406A" w:rsidRPr="00AD7333">
              <w:rPr>
                <w:rFonts w:cstheme="minorHAnsi"/>
                <w:sz w:val="22"/>
                <w:szCs w:val="22"/>
              </w:rPr>
              <w:t>exceeded national recommendations and comprised an annual pay increase of 1.5%, effective from 1 August 2021.  It was noted that the increase applied to all staff regardless of contractual terms excepting for staff employed on senior postholder contracts or staff who were currently receiving protected pay.</w:t>
            </w:r>
          </w:p>
          <w:p w14:paraId="7E7EB822" w14:textId="77777777" w:rsidR="00F0406A" w:rsidRPr="00AD7333" w:rsidRDefault="00F0406A" w:rsidP="00AD7333">
            <w:pPr>
              <w:jc w:val="both"/>
              <w:rPr>
                <w:rFonts w:cstheme="minorHAnsi"/>
                <w:sz w:val="22"/>
                <w:szCs w:val="22"/>
              </w:rPr>
            </w:pPr>
          </w:p>
          <w:p w14:paraId="2F34A583" w14:textId="77777777" w:rsidR="004A7EF2" w:rsidRPr="00AD7333" w:rsidRDefault="00F0406A" w:rsidP="00AD7333">
            <w:pPr>
              <w:jc w:val="both"/>
              <w:rPr>
                <w:rFonts w:cstheme="minorHAnsi"/>
                <w:sz w:val="22"/>
                <w:szCs w:val="22"/>
              </w:rPr>
            </w:pPr>
            <w:r w:rsidRPr="00AD7333">
              <w:rPr>
                <w:rFonts w:cstheme="minorHAnsi"/>
                <w:sz w:val="22"/>
                <w:szCs w:val="22"/>
              </w:rPr>
              <w:t xml:space="preserve">The VPCSP expanded upon the Group pay scale realignment proposals and </w:t>
            </w:r>
            <w:r w:rsidR="000C5152" w:rsidRPr="00AD7333">
              <w:rPr>
                <w:rFonts w:cstheme="minorHAnsi"/>
                <w:sz w:val="22"/>
                <w:szCs w:val="22"/>
              </w:rPr>
              <w:t xml:space="preserve">its </w:t>
            </w:r>
            <w:r w:rsidRPr="00AD7333">
              <w:rPr>
                <w:rFonts w:cstheme="minorHAnsi"/>
                <w:sz w:val="22"/>
                <w:szCs w:val="22"/>
              </w:rPr>
              <w:t xml:space="preserve">application to the Teacher and Programme Leaders pay scale; </w:t>
            </w:r>
            <w:r w:rsidR="000C5152" w:rsidRPr="00AD7333">
              <w:rPr>
                <w:rFonts w:cstheme="minorHAnsi"/>
                <w:sz w:val="22"/>
                <w:szCs w:val="22"/>
              </w:rPr>
              <w:t xml:space="preserve">Business Support pay scale; and Director pay scale.  </w:t>
            </w:r>
          </w:p>
          <w:p w14:paraId="4CD4BD5D" w14:textId="77777777" w:rsidR="004A7EF2" w:rsidRPr="00AD7333" w:rsidRDefault="004A7EF2" w:rsidP="00AD7333">
            <w:pPr>
              <w:jc w:val="both"/>
              <w:rPr>
                <w:rFonts w:cstheme="minorHAnsi"/>
                <w:sz w:val="22"/>
                <w:szCs w:val="22"/>
              </w:rPr>
            </w:pPr>
          </w:p>
          <w:p w14:paraId="73DA92E7" w14:textId="77777777" w:rsidR="004A7EF2" w:rsidRPr="00AD7333" w:rsidRDefault="000C5152" w:rsidP="00AD7333">
            <w:pPr>
              <w:jc w:val="both"/>
              <w:rPr>
                <w:rFonts w:cstheme="minorHAnsi"/>
                <w:sz w:val="22"/>
                <w:szCs w:val="22"/>
              </w:rPr>
            </w:pPr>
            <w:r w:rsidRPr="00AD7333">
              <w:rPr>
                <w:rFonts w:cstheme="minorHAnsi"/>
                <w:sz w:val="22"/>
                <w:szCs w:val="22"/>
              </w:rPr>
              <w:t>There was confirmation that the proposals would support</w:t>
            </w:r>
            <w:r w:rsidR="004A7EF2" w:rsidRPr="00AD7333">
              <w:rPr>
                <w:rFonts w:cstheme="minorHAnsi"/>
                <w:sz w:val="22"/>
                <w:szCs w:val="22"/>
              </w:rPr>
              <w:t>:</w:t>
            </w:r>
          </w:p>
          <w:p w14:paraId="4C3EC15B" w14:textId="77777777" w:rsidR="004A7EF2" w:rsidRPr="00AD7333" w:rsidRDefault="004A7EF2" w:rsidP="00AD7333">
            <w:pPr>
              <w:jc w:val="both"/>
              <w:rPr>
                <w:rFonts w:cstheme="minorHAnsi"/>
                <w:sz w:val="22"/>
                <w:szCs w:val="22"/>
              </w:rPr>
            </w:pPr>
          </w:p>
          <w:p w14:paraId="2F09ACB6" w14:textId="77777777" w:rsidR="004A7EF2" w:rsidRPr="00AD7333" w:rsidRDefault="000C5152" w:rsidP="00477AC2">
            <w:pPr>
              <w:pStyle w:val="ListParagraph"/>
              <w:numPr>
                <w:ilvl w:val="1"/>
                <w:numId w:val="1"/>
              </w:numPr>
              <w:ind w:left="395" w:hanging="425"/>
              <w:jc w:val="both"/>
              <w:rPr>
                <w:rFonts w:cstheme="minorHAnsi"/>
                <w:sz w:val="22"/>
                <w:szCs w:val="22"/>
              </w:rPr>
            </w:pPr>
            <w:r w:rsidRPr="00AD7333">
              <w:rPr>
                <w:rFonts w:cstheme="minorHAnsi"/>
                <w:sz w:val="22"/>
                <w:szCs w:val="22"/>
              </w:rPr>
              <w:t>the addressing of recruitment pressures</w:t>
            </w:r>
          </w:p>
          <w:p w14:paraId="6DA2C1F2" w14:textId="77777777" w:rsidR="004A7EF2" w:rsidRPr="00AD7333" w:rsidRDefault="00C66643" w:rsidP="00477AC2">
            <w:pPr>
              <w:pStyle w:val="ListParagraph"/>
              <w:numPr>
                <w:ilvl w:val="1"/>
                <w:numId w:val="1"/>
              </w:numPr>
              <w:ind w:left="395" w:hanging="425"/>
              <w:jc w:val="both"/>
              <w:rPr>
                <w:rFonts w:cstheme="minorHAnsi"/>
                <w:sz w:val="22"/>
                <w:szCs w:val="22"/>
              </w:rPr>
            </w:pPr>
            <w:r w:rsidRPr="00AD7333">
              <w:rPr>
                <w:rFonts w:cstheme="minorHAnsi"/>
                <w:sz w:val="22"/>
                <w:szCs w:val="22"/>
              </w:rPr>
              <w:t>expand progression grades for specialist staff</w:t>
            </w:r>
          </w:p>
          <w:p w14:paraId="684F94D6" w14:textId="77777777" w:rsidR="004A7EF2" w:rsidRPr="00AD7333" w:rsidRDefault="00C66643" w:rsidP="00477AC2">
            <w:pPr>
              <w:pStyle w:val="ListParagraph"/>
              <w:numPr>
                <w:ilvl w:val="1"/>
                <w:numId w:val="1"/>
              </w:numPr>
              <w:ind w:left="395" w:hanging="395"/>
              <w:jc w:val="both"/>
              <w:rPr>
                <w:rFonts w:cstheme="minorHAnsi"/>
                <w:sz w:val="22"/>
                <w:szCs w:val="22"/>
              </w:rPr>
            </w:pPr>
            <w:r w:rsidRPr="00AD7333">
              <w:rPr>
                <w:rFonts w:cstheme="minorHAnsi"/>
                <w:sz w:val="22"/>
                <w:szCs w:val="22"/>
              </w:rPr>
              <w:t xml:space="preserve">provide parity with the maximum point on the Cheadle and Marple Pay scale </w:t>
            </w:r>
            <w:r w:rsidR="004A7EF2" w:rsidRPr="00AD7333">
              <w:rPr>
                <w:rFonts w:cstheme="minorHAnsi"/>
                <w:sz w:val="22"/>
                <w:szCs w:val="22"/>
              </w:rPr>
              <w:t>for Teachers and Programme Leaders;</w:t>
            </w:r>
            <w:r w:rsidR="000C5152" w:rsidRPr="00AD7333">
              <w:rPr>
                <w:rFonts w:cstheme="minorHAnsi"/>
                <w:sz w:val="22"/>
                <w:szCs w:val="22"/>
              </w:rPr>
              <w:t xml:space="preserve"> a</w:t>
            </w:r>
            <w:r w:rsidRPr="00AD7333">
              <w:rPr>
                <w:rFonts w:cstheme="minorHAnsi"/>
                <w:sz w:val="22"/>
                <w:szCs w:val="22"/>
              </w:rPr>
              <w:t>nd</w:t>
            </w:r>
          </w:p>
          <w:p w14:paraId="2C54FC2F" w14:textId="4DEBBE43" w:rsidR="00767145" w:rsidRPr="00AD7333" w:rsidRDefault="004A7EF2" w:rsidP="00477AC2">
            <w:pPr>
              <w:pStyle w:val="ListParagraph"/>
              <w:numPr>
                <w:ilvl w:val="1"/>
                <w:numId w:val="1"/>
              </w:numPr>
              <w:ind w:left="395" w:hanging="395"/>
              <w:jc w:val="both"/>
              <w:rPr>
                <w:rFonts w:cstheme="minorHAnsi"/>
                <w:sz w:val="22"/>
                <w:szCs w:val="22"/>
              </w:rPr>
            </w:pPr>
            <w:r w:rsidRPr="00AD7333">
              <w:rPr>
                <w:rFonts w:cstheme="minorHAnsi"/>
                <w:sz w:val="22"/>
                <w:szCs w:val="22"/>
              </w:rPr>
              <w:t xml:space="preserve">deliver a real living wage to enabling teams </w:t>
            </w:r>
          </w:p>
          <w:p w14:paraId="74ABC253" w14:textId="77777777" w:rsidR="00767145" w:rsidRPr="00AD7333" w:rsidRDefault="00767145" w:rsidP="00AD7333">
            <w:pPr>
              <w:jc w:val="both"/>
              <w:rPr>
                <w:rFonts w:cstheme="minorHAnsi"/>
                <w:sz w:val="22"/>
                <w:szCs w:val="22"/>
              </w:rPr>
            </w:pPr>
          </w:p>
          <w:p w14:paraId="02F1CA13" w14:textId="77777777" w:rsidR="00EA06DC" w:rsidRPr="00AD7333" w:rsidRDefault="004A7EF2" w:rsidP="00AD7333">
            <w:pPr>
              <w:jc w:val="both"/>
              <w:rPr>
                <w:rFonts w:cstheme="minorHAnsi"/>
                <w:sz w:val="22"/>
                <w:szCs w:val="22"/>
              </w:rPr>
            </w:pPr>
            <w:r w:rsidRPr="00AD7333">
              <w:rPr>
                <w:rFonts w:cstheme="minorHAnsi"/>
                <w:sz w:val="22"/>
                <w:szCs w:val="22"/>
              </w:rPr>
              <w:t xml:space="preserve">With respect to the response from the trade unions the VPCSP reported that UNISON had responded positively in relation to the 1.5% pay award offer </w:t>
            </w:r>
            <w:r w:rsidR="00EA06DC" w:rsidRPr="00AD7333">
              <w:rPr>
                <w:rFonts w:cstheme="minorHAnsi"/>
                <w:sz w:val="22"/>
                <w:szCs w:val="22"/>
              </w:rPr>
              <w:t>and asked for further information in relation to the realignment proposals.  In respect of NEU it was confirmed that no response had been received and UCU had made a response which did not say they would not accept the offer but was seeking</w:t>
            </w:r>
            <w:r w:rsidR="003408E4" w:rsidRPr="00AD7333">
              <w:rPr>
                <w:rFonts w:cstheme="minorHAnsi"/>
                <w:sz w:val="22"/>
                <w:szCs w:val="22"/>
              </w:rPr>
              <w:t xml:space="preserve"> </w:t>
            </w:r>
            <w:r w:rsidR="00EA06DC" w:rsidRPr="00AD7333">
              <w:rPr>
                <w:rFonts w:cstheme="minorHAnsi"/>
                <w:sz w:val="22"/>
                <w:szCs w:val="22"/>
              </w:rPr>
              <w:t>the acceleration of increments more quickly.</w:t>
            </w:r>
          </w:p>
          <w:p w14:paraId="46EA4C42" w14:textId="77777777" w:rsidR="00EA06DC" w:rsidRPr="00AD7333" w:rsidRDefault="00EA06DC" w:rsidP="00AD7333">
            <w:pPr>
              <w:jc w:val="both"/>
              <w:rPr>
                <w:rFonts w:cstheme="minorHAnsi"/>
                <w:sz w:val="22"/>
                <w:szCs w:val="22"/>
              </w:rPr>
            </w:pPr>
          </w:p>
          <w:p w14:paraId="7BA034AD" w14:textId="17C17AC8" w:rsidR="00C26F48" w:rsidRPr="00AD7333" w:rsidRDefault="00EA06DC" w:rsidP="00AD7333">
            <w:pPr>
              <w:jc w:val="both"/>
              <w:rPr>
                <w:rFonts w:cstheme="minorHAnsi"/>
                <w:sz w:val="22"/>
                <w:szCs w:val="22"/>
              </w:rPr>
            </w:pPr>
            <w:r w:rsidRPr="00AD7333">
              <w:rPr>
                <w:rFonts w:cstheme="minorHAnsi"/>
                <w:sz w:val="22"/>
                <w:szCs w:val="22"/>
              </w:rPr>
              <w:t>The VPCSP further highlighted other areas of consideration which included the market testing of</w:t>
            </w:r>
            <w:r w:rsidR="00FD241A" w:rsidRPr="00AD7333">
              <w:rPr>
                <w:rFonts w:cstheme="minorHAnsi"/>
                <w:sz w:val="22"/>
                <w:szCs w:val="22"/>
              </w:rPr>
              <w:t xml:space="preserve"> some</w:t>
            </w:r>
            <w:r w:rsidRPr="00AD7333">
              <w:rPr>
                <w:rFonts w:cstheme="minorHAnsi"/>
                <w:sz w:val="22"/>
                <w:szCs w:val="22"/>
              </w:rPr>
              <w:t xml:space="preserve"> support services and exploring concerns raised by trade unions around workload</w:t>
            </w:r>
            <w:r w:rsidR="00E31C74" w:rsidRPr="00AD7333">
              <w:rPr>
                <w:rFonts w:cstheme="minorHAnsi"/>
                <w:sz w:val="22"/>
                <w:szCs w:val="22"/>
              </w:rPr>
              <w:t>.</w:t>
            </w:r>
            <w:r w:rsidRPr="00AD7333">
              <w:rPr>
                <w:rFonts w:cstheme="minorHAnsi"/>
                <w:sz w:val="22"/>
                <w:szCs w:val="22"/>
              </w:rPr>
              <w:t xml:space="preserve"> </w:t>
            </w:r>
          </w:p>
          <w:p w14:paraId="7E89C114" w14:textId="77777777" w:rsidR="004A7EF2" w:rsidRPr="00AD7333" w:rsidRDefault="004A7EF2" w:rsidP="00AD7333">
            <w:pPr>
              <w:jc w:val="both"/>
              <w:rPr>
                <w:rFonts w:cstheme="minorHAnsi"/>
                <w:sz w:val="22"/>
                <w:szCs w:val="22"/>
              </w:rPr>
            </w:pPr>
          </w:p>
          <w:p w14:paraId="3B3DE31A" w14:textId="28C4CA2A" w:rsidR="00C26F48" w:rsidRPr="00AD7333" w:rsidRDefault="00E31C74" w:rsidP="00AD7333">
            <w:pPr>
              <w:jc w:val="both"/>
              <w:rPr>
                <w:rFonts w:cstheme="minorHAnsi"/>
                <w:sz w:val="22"/>
                <w:szCs w:val="22"/>
              </w:rPr>
            </w:pPr>
            <w:r w:rsidRPr="00AD7333">
              <w:rPr>
                <w:rFonts w:cstheme="minorHAnsi"/>
                <w:sz w:val="22"/>
                <w:szCs w:val="22"/>
              </w:rPr>
              <w:t>Questions from members were invited.</w:t>
            </w:r>
          </w:p>
          <w:p w14:paraId="2E4C06A6" w14:textId="35A7CFDE" w:rsidR="003032ED" w:rsidRPr="00AD7333" w:rsidRDefault="003032ED" w:rsidP="00AD7333">
            <w:pPr>
              <w:jc w:val="both"/>
              <w:rPr>
                <w:rFonts w:cstheme="minorHAnsi"/>
                <w:sz w:val="22"/>
                <w:szCs w:val="22"/>
              </w:rPr>
            </w:pPr>
          </w:p>
          <w:p w14:paraId="3D06DA40" w14:textId="66C6CF73" w:rsidR="003032ED" w:rsidRPr="00AD7333" w:rsidRDefault="00E31C74" w:rsidP="00477AC2">
            <w:pPr>
              <w:pStyle w:val="ListParagraph"/>
              <w:numPr>
                <w:ilvl w:val="0"/>
                <w:numId w:val="4"/>
              </w:numPr>
              <w:ind w:left="395" w:hanging="395"/>
              <w:jc w:val="both"/>
              <w:rPr>
                <w:rFonts w:cstheme="minorHAnsi"/>
                <w:sz w:val="22"/>
                <w:szCs w:val="22"/>
              </w:rPr>
            </w:pPr>
            <w:r w:rsidRPr="00AD7333">
              <w:rPr>
                <w:rFonts w:cstheme="minorHAnsi"/>
                <w:sz w:val="22"/>
                <w:szCs w:val="22"/>
              </w:rPr>
              <w:t>A question was asked in relation to the impact of staff costs in the context of the staff to income ratio.</w:t>
            </w:r>
          </w:p>
          <w:p w14:paraId="74114D1C" w14:textId="14B837AF" w:rsidR="00E31C74" w:rsidRPr="00AD7333" w:rsidRDefault="00E31C74" w:rsidP="00AD7333">
            <w:pPr>
              <w:jc w:val="both"/>
              <w:rPr>
                <w:rFonts w:cstheme="minorHAnsi"/>
                <w:sz w:val="22"/>
                <w:szCs w:val="22"/>
              </w:rPr>
            </w:pPr>
          </w:p>
          <w:p w14:paraId="40A9FCA4" w14:textId="1524A9F6" w:rsidR="00E31C74" w:rsidRPr="00AD7333" w:rsidRDefault="00E31C74" w:rsidP="00AD7333">
            <w:pPr>
              <w:jc w:val="both"/>
              <w:rPr>
                <w:rFonts w:cstheme="minorHAnsi"/>
                <w:sz w:val="22"/>
                <w:szCs w:val="22"/>
              </w:rPr>
            </w:pPr>
            <w:r w:rsidRPr="00AD7333">
              <w:rPr>
                <w:rFonts w:cstheme="minorHAnsi"/>
                <w:sz w:val="22"/>
                <w:szCs w:val="22"/>
              </w:rPr>
              <w:t>The VPCSP responded that whilst it was recognised that there would be an impact on costs the latter element of the proposals would no</w:t>
            </w:r>
            <w:r w:rsidR="004E20CA" w:rsidRPr="00AD7333">
              <w:rPr>
                <w:rFonts w:cstheme="minorHAnsi"/>
                <w:sz w:val="22"/>
                <w:szCs w:val="22"/>
              </w:rPr>
              <w:t>t</w:t>
            </w:r>
            <w:r w:rsidRPr="00AD7333">
              <w:rPr>
                <w:rFonts w:cstheme="minorHAnsi"/>
                <w:sz w:val="22"/>
                <w:szCs w:val="22"/>
              </w:rPr>
              <w:t xml:space="preserve"> be effective until 1 August 2022.  Assurances were provided that modelling was taking place from which indications were that there would be a positive impact on the gender pay gap.</w:t>
            </w:r>
          </w:p>
          <w:p w14:paraId="4E71CF06" w14:textId="77777777" w:rsidR="00E31C74" w:rsidRPr="00AD7333" w:rsidRDefault="00E31C74" w:rsidP="00AD7333">
            <w:pPr>
              <w:jc w:val="both"/>
              <w:rPr>
                <w:rFonts w:cstheme="minorHAnsi"/>
                <w:sz w:val="22"/>
                <w:szCs w:val="22"/>
              </w:rPr>
            </w:pPr>
          </w:p>
          <w:p w14:paraId="7A3CF1A3" w14:textId="3A98F744" w:rsidR="00E31C74" w:rsidRPr="00AD7333" w:rsidRDefault="00E31C74" w:rsidP="00AD7333">
            <w:pPr>
              <w:jc w:val="both"/>
              <w:rPr>
                <w:rFonts w:cstheme="minorHAnsi"/>
                <w:sz w:val="22"/>
                <w:szCs w:val="22"/>
              </w:rPr>
            </w:pPr>
            <w:r w:rsidRPr="00AD7333">
              <w:rPr>
                <w:rFonts w:cstheme="minorHAnsi"/>
                <w:sz w:val="22"/>
                <w:szCs w:val="22"/>
              </w:rPr>
              <w:t xml:space="preserve">The PCEO further commented that a pay award had not been budgeted for in the current academic year however </w:t>
            </w:r>
            <w:r w:rsidR="00B82323" w:rsidRPr="00AD7333">
              <w:rPr>
                <w:rFonts w:cstheme="minorHAnsi"/>
                <w:sz w:val="22"/>
                <w:szCs w:val="22"/>
              </w:rPr>
              <w:t>16-19 income was £1m better than anticipated and furthermore, going forward, the 16-19 allocation was due to increase further alongside an increase in the 16-19 base rate</w:t>
            </w:r>
            <w:r w:rsidR="004E20CA" w:rsidRPr="00AD7333">
              <w:rPr>
                <w:rFonts w:cstheme="minorHAnsi"/>
                <w:sz w:val="22"/>
                <w:szCs w:val="22"/>
              </w:rPr>
              <w:t>,</w:t>
            </w:r>
            <w:r w:rsidR="00B82323" w:rsidRPr="00AD7333">
              <w:rPr>
                <w:rFonts w:cstheme="minorHAnsi"/>
                <w:sz w:val="22"/>
                <w:szCs w:val="22"/>
              </w:rPr>
              <w:t xml:space="preserve"> thereby delivering an increased allocation of £3m over and above the current position.  The PCEO added that there was recognition that there was risk to some of the other lines of </w:t>
            </w:r>
            <w:r w:rsidR="0019775F" w:rsidRPr="00AD7333">
              <w:rPr>
                <w:rFonts w:cstheme="minorHAnsi"/>
                <w:sz w:val="22"/>
                <w:szCs w:val="22"/>
              </w:rPr>
              <w:t xml:space="preserve">the </w:t>
            </w:r>
            <w:r w:rsidR="00B82323" w:rsidRPr="00AD7333">
              <w:rPr>
                <w:rFonts w:cstheme="minorHAnsi"/>
                <w:sz w:val="22"/>
                <w:szCs w:val="22"/>
              </w:rPr>
              <w:t xml:space="preserve">funding </w:t>
            </w:r>
            <w:r w:rsidR="0019775F" w:rsidRPr="00AD7333">
              <w:rPr>
                <w:rFonts w:cstheme="minorHAnsi"/>
                <w:sz w:val="22"/>
                <w:szCs w:val="22"/>
              </w:rPr>
              <w:t xml:space="preserve">stream </w:t>
            </w:r>
            <w:r w:rsidR="00B82323" w:rsidRPr="00AD7333">
              <w:rPr>
                <w:rFonts w:cstheme="minorHAnsi"/>
                <w:sz w:val="22"/>
                <w:szCs w:val="22"/>
              </w:rPr>
              <w:t xml:space="preserve">but that there was confidence that the position supported the pay proposals presented.  </w:t>
            </w:r>
            <w:r w:rsidRPr="00AD7333">
              <w:rPr>
                <w:rFonts w:cstheme="minorHAnsi"/>
                <w:sz w:val="22"/>
                <w:szCs w:val="22"/>
              </w:rPr>
              <w:t xml:space="preserve"> </w:t>
            </w:r>
          </w:p>
          <w:p w14:paraId="59D39060" w14:textId="2456A9CA" w:rsidR="003032ED" w:rsidRPr="00AD7333" w:rsidRDefault="003032ED" w:rsidP="00AD7333">
            <w:pPr>
              <w:jc w:val="both"/>
              <w:rPr>
                <w:rFonts w:cstheme="minorHAnsi"/>
                <w:sz w:val="22"/>
                <w:szCs w:val="22"/>
              </w:rPr>
            </w:pPr>
          </w:p>
          <w:p w14:paraId="5F8451E1" w14:textId="3F216006" w:rsidR="003039F4" w:rsidRPr="00AD7333" w:rsidRDefault="0019775F" w:rsidP="00477AC2">
            <w:pPr>
              <w:pStyle w:val="ListParagraph"/>
              <w:numPr>
                <w:ilvl w:val="0"/>
                <w:numId w:val="4"/>
              </w:numPr>
              <w:ind w:left="395" w:hanging="395"/>
              <w:jc w:val="both"/>
              <w:rPr>
                <w:rFonts w:cstheme="minorHAnsi"/>
                <w:sz w:val="22"/>
                <w:szCs w:val="22"/>
              </w:rPr>
            </w:pPr>
            <w:r w:rsidRPr="00AD7333">
              <w:rPr>
                <w:rFonts w:cstheme="minorHAnsi"/>
                <w:sz w:val="22"/>
                <w:szCs w:val="22"/>
              </w:rPr>
              <w:t xml:space="preserve">A member applauded the positive steps associated with the pay review and </w:t>
            </w:r>
            <w:r w:rsidR="009D2666" w:rsidRPr="00AD7333">
              <w:rPr>
                <w:rFonts w:cstheme="minorHAnsi"/>
                <w:sz w:val="22"/>
                <w:szCs w:val="22"/>
              </w:rPr>
              <w:t>asked if there were other steps being taken to support recruitment</w:t>
            </w:r>
            <w:r w:rsidR="00FD241A" w:rsidRPr="00AD7333">
              <w:rPr>
                <w:rFonts w:cstheme="minorHAnsi"/>
                <w:sz w:val="22"/>
                <w:szCs w:val="22"/>
              </w:rPr>
              <w:t xml:space="preserve"> from a </w:t>
            </w:r>
            <w:r w:rsidR="00743088" w:rsidRPr="00AD7333">
              <w:rPr>
                <w:rFonts w:cstheme="minorHAnsi"/>
                <w:sz w:val="22"/>
                <w:szCs w:val="22"/>
              </w:rPr>
              <w:t>non-pay</w:t>
            </w:r>
            <w:r w:rsidR="00FD241A" w:rsidRPr="00AD7333">
              <w:rPr>
                <w:rFonts w:cstheme="minorHAnsi"/>
                <w:sz w:val="22"/>
                <w:szCs w:val="22"/>
              </w:rPr>
              <w:t xml:space="preserve"> perspective</w:t>
            </w:r>
            <w:r w:rsidR="009D2666" w:rsidRPr="00AD7333">
              <w:rPr>
                <w:rFonts w:cstheme="minorHAnsi"/>
                <w:sz w:val="22"/>
                <w:szCs w:val="22"/>
              </w:rPr>
              <w:t>.</w:t>
            </w:r>
          </w:p>
          <w:p w14:paraId="586F7311" w14:textId="4ECCFA92" w:rsidR="009D2666" w:rsidRPr="00AD7333" w:rsidRDefault="009D2666" w:rsidP="00AD7333">
            <w:pPr>
              <w:jc w:val="both"/>
              <w:rPr>
                <w:rFonts w:cstheme="minorHAnsi"/>
                <w:sz w:val="22"/>
                <w:szCs w:val="22"/>
              </w:rPr>
            </w:pPr>
          </w:p>
          <w:p w14:paraId="0363E439" w14:textId="325432D4" w:rsidR="004B2278" w:rsidRPr="00AD7333" w:rsidRDefault="009D2666" w:rsidP="00AD7333">
            <w:pPr>
              <w:jc w:val="both"/>
              <w:rPr>
                <w:rFonts w:cstheme="minorHAnsi"/>
                <w:sz w:val="22"/>
                <w:szCs w:val="22"/>
              </w:rPr>
            </w:pPr>
            <w:r w:rsidRPr="00AD7333">
              <w:rPr>
                <w:rFonts w:cstheme="minorHAnsi"/>
                <w:sz w:val="22"/>
                <w:szCs w:val="22"/>
              </w:rPr>
              <w:t xml:space="preserve">The </w:t>
            </w:r>
            <w:r w:rsidR="00FD241A" w:rsidRPr="00AD7333">
              <w:rPr>
                <w:rFonts w:cstheme="minorHAnsi"/>
                <w:sz w:val="22"/>
                <w:szCs w:val="22"/>
              </w:rPr>
              <w:t>PCEO</w:t>
            </w:r>
            <w:r w:rsidRPr="00AD7333">
              <w:rPr>
                <w:rFonts w:cstheme="minorHAnsi"/>
                <w:sz w:val="22"/>
                <w:szCs w:val="22"/>
              </w:rPr>
              <w:t xml:space="preserve"> responded that detailed discussions were scheduled to take place at the upcoming Governor Strategy Development event at which aspects of the People’s Strategy was due to be considered.  The VPCSP added that there was a</w:t>
            </w:r>
            <w:r w:rsidR="004E20CA" w:rsidRPr="00AD7333">
              <w:rPr>
                <w:rFonts w:cstheme="minorHAnsi"/>
                <w:sz w:val="22"/>
                <w:szCs w:val="22"/>
              </w:rPr>
              <w:t>lso a</w:t>
            </w:r>
            <w:r w:rsidRPr="00AD7333">
              <w:rPr>
                <w:rFonts w:cstheme="minorHAnsi"/>
                <w:sz w:val="22"/>
                <w:szCs w:val="22"/>
              </w:rPr>
              <w:t xml:space="preserve"> need to undertake further market research in this area but that early findings suggested that </w:t>
            </w:r>
            <w:r w:rsidR="004B2278" w:rsidRPr="00AD7333">
              <w:rPr>
                <w:rFonts w:cstheme="minorHAnsi"/>
                <w:sz w:val="22"/>
                <w:szCs w:val="22"/>
              </w:rPr>
              <w:t>staff had been lost due to salar</w:t>
            </w:r>
            <w:r w:rsidR="004E20CA" w:rsidRPr="00AD7333">
              <w:rPr>
                <w:rFonts w:cstheme="minorHAnsi"/>
                <w:sz w:val="22"/>
                <w:szCs w:val="22"/>
              </w:rPr>
              <w:t>y levels</w:t>
            </w:r>
            <w:r w:rsidR="004B2278" w:rsidRPr="00AD7333">
              <w:rPr>
                <w:rFonts w:cstheme="minorHAnsi"/>
                <w:sz w:val="22"/>
                <w:szCs w:val="22"/>
              </w:rPr>
              <w:t xml:space="preserve"> and that for enabling staff there were </w:t>
            </w:r>
            <w:r w:rsidR="004E20CA" w:rsidRPr="00AD7333">
              <w:rPr>
                <w:rFonts w:cstheme="minorHAnsi"/>
                <w:sz w:val="22"/>
                <w:szCs w:val="22"/>
              </w:rPr>
              <w:t xml:space="preserve">often </w:t>
            </w:r>
            <w:r w:rsidR="004B2278" w:rsidRPr="00AD7333">
              <w:rPr>
                <w:rFonts w:cstheme="minorHAnsi"/>
                <w:sz w:val="22"/>
                <w:szCs w:val="22"/>
              </w:rPr>
              <w:t>more opportunities in the private sector.</w:t>
            </w:r>
            <w:r w:rsidR="00FD241A" w:rsidRPr="00AD7333">
              <w:rPr>
                <w:rFonts w:cstheme="minorHAnsi"/>
                <w:sz w:val="22"/>
                <w:szCs w:val="22"/>
              </w:rPr>
              <w:t xml:space="preserve">  The VPCSP drew the Committee’s attention to a wide range of initiatives that were undertaken by the Group in this context including the family-friendly policies.  </w:t>
            </w:r>
            <w:r w:rsidR="004B2278" w:rsidRPr="00AD7333">
              <w:rPr>
                <w:rFonts w:cstheme="minorHAnsi"/>
                <w:sz w:val="22"/>
                <w:szCs w:val="22"/>
              </w:rPr>
              <w:t xml:space="preserve">  </w:t>
            </w:r>
          </w:p>
          <w:p w14:paraId="1AD048A2" w14:textId="77777777" w:rsidR="004B2278" w:rsidRPr="00AD7333" w:rsidRDefault="004B2278" w:rsidP="00AD7333">
            <w:pPr>
              <w:jc w:val="both"/>
              <w:rPr>
                <w:rFonts w:cstheme="minorHAnsi"/>
                <w:sz w:val="22"/>
                <w:szCs w:val="22"/>
              </w:rPr>
            </w:pPr>
          </w:p>
          <w:p w14:paraId="28B5A59B" w14:textId="2A36FE8E" w:rsidR="009D2666" w:rsidRPr="00AD7333" w:rsidRDefault="004B2278" w:rsidP="00AD7333">
            <w:pPr>
              <w:jc w:val="both"/>
              <w:rPr>
                <w:rFonts w:cstheme="minorHAnsi"/>
                <w:sz w:val="22"/>
                <w:szCs w:val="22"/>
              </w:rPr>
            </w:pPr>
            <w:r w:rsidRPr="00AD7333">
              <w:rPr>
                <w:rFonts w:cstheme="minorHAnsi"/>
                <w:sz w:val="22"/>
                <w:szCs w:val="22"/>
              </w:rPr>
              <w:lastRenderedPageBreak/>
              <w:t xml:space="preserve">It was further stated that there was a need for further work around recruitment and growing and developing staff internally.  There was recognition that this presented a significant piece of work at a more sophisticated level.  </w:t>
            </w:r>
          </w:p>
          <w:p w14:paraId="1D228D03" w14:textId="437F276C" w:rsidR="004B2278" w:rsidRPr="00AD7333" w:rsidRDefault="004B2278" w:rsidP="00AD7333">
            <w:pPr>
              <w:jc w:val="both"/>
              <w:rPr>
                <w:rFonts w:cstheme="minorHAnsi"/>
                <w:sz w:val="22"/>
                <w:szCs w:val="22"/>
              </w:rPr>
            </w:pPr>
          </w:p>
          <w:p w14:paraId="00183966" w14:textId="70FF0CD7" w:rsidR="004B2278" w:rsidRPr="00AD7333" w:rsidRDefault="004B2278" w:rsidP="00AD7333">
            <w:pPr>
              <w:jc w:val="both"/>
              <w:rPr>
                <w:rFonts w:cstheme="minorHAnsi"/>
                <w:sz w:val="22"/>
                <w:szCs w:val="22"/>
              </w:rPr>
            </w:pPr>
            <w:r w:rsidRPr="00AD7333">
              <w:rPr>
                <w:rFonts w:cstheme="minorHAnsi"/>
                <w:sz w:val="22"/>
                <w:szCs w:val="22"/>
              </w:rPr>
              <w:t>The PCEO highlighted the very positive outcome of a recent recruitment campaign in which specific difficult to recruit teaching areas had been very successfully targeted.  There was recognition of the innovative approach adopted.</w:t>
            </w:r>
          </w:p>
          <w:p w14:paraId="039C7C09" w14:textId="254F1659" w:rsidR="00867579" w:rsidRPr="00AD7333" w:rsidRDefault="00867579" w:rsidP="00AD7333">
            <w:pPr>
              <w:jc w:val="both"/>
              <w:rPr>
                <w:rFonts w:cstheme="minorHAnsi"/>
                <w:sz w:val="22"/>
                <w:szCs w:val="22"/>
              </w:rPr>
            </w:pPr>
          </w:p>
          <w:p w14:paraId="66192D32" w14:textId="12487522" w:rsidR="00867579" w:rsidRPr="00AD7333" w:rsidRDefault="00867579" w:rsidP="00477AC2">
            <w:pPr>
              <w:pStyle w:val="ListParagraph"/>
              <w:numPr>
                <w:ilvl w:val="0"/>
                <w:numId w:val="4"/>
              </w:numPr>
              <w:ind w:left="395" w:hanging="425"/>
              <w:jc w:val="both"/>
              <w:rPr>
                <w:rFonts w:cstheme="minorHAnsi"/>
                <w:sz w:val="22"/>
                <w:szCs w:val="22"/>
              </w:rPr>
            </w:pPr>
            <w:r w:rsidRPr="00AD7333">
              <w:rPr>
                <w:rFonts w:cstheme="minorHAnsi"/>
                <w:sz w:val="22"/>
                <w:szCs w:val="22"/>
              </w:rPr>
              <w:t xml:space="preserve">A member referenced the </w:t>
            </w:r>
            <w:r w:rsidR="00033E03" w:rsidRPr="00AD7333">
              <w:rPr>
                <w:rFonts w:cstheme="minorHAnsi"/>
                <w:sz w:val="22"/>
                <w:szCs w:val="22"/>
              </w:rPr>
              <w:t>Apprenticeship L</w:t>
            </w:r>
            <w:r w:rsidRPr="00AD7333">
              <w:rPr>
                <w:rFonts w:cstheme="minorHAnsi"/>
                <w:sz w:val="22"/>
                <w:szCs w:val="22"/>
              </w:rPr>
              <w:t xml:space="preserve">ink </w:t>
            </w:r>
            <w:r w:rsidR="00033E03" w:rsidRPr="00AD7333">
              <w:rPr>
                <w:rFonts w:cstheme="minorHAnsi"/>
                <w:sz w:val="22"/>
                <w:szCs w:val="22"/>
              </w:rPr>
              <w:t>G</w:t>
            </w:r>
            <w:r w:rsidRPr="00AD7333">
              <w:rPr>
                <w:rFonts w:cstheme="minorHAnsi"/>
                <w:sz w:val="22"/>
                <w:szCs w:val="22"/>
              </w:rPr>
              <w:t xml:space="preserve">overnor meeting she had attended earlier in the day and the </w:t>
            </w:r>
            <w:r w:rsidR="00033E03" w:rsidRPr="00AD7333">
              <w:rPr>
                <w:rFonts w:cstheme="minorHAnsi"/>
                <w:sz w:val="22"/>
                <w:szCs w:val="22"/>
              </w:rPr>
              <w:t xml:space="preserve">excellent recruitment work </w:t>
            </w:r>
            <w:r w:rsidR="00EA0F3C" w:rsidRPr="00AD7333">
              <w:rPr>
                <w:rFonts w:cstheme="minorHAnsi"/>
                <w:sz w:val="22"/>
                <w:szCs w:val="22"/>
              </w:rPr>
              <w:t>that had been taking place and which was also being rolled out to other sectors.</w:t>
            </w:r>
          </w:p>
          <w:p w14:paraId="00C24F87" w14:textId="3EE3BD88" w:rsidR="00EA0F3C" w:rsidRPr="00AD7333" w:rsidRDefault="00EA0F3C" w:rsidP="00AD7333">
            <w:pPr>
              <w:jc w:val="both"/>
              <w:rPr>
                <w:rFonts w:cstheme="minorHAnsi"/>
                <w:sz w:val="22"/>
                <w:szCs w:val="22"/>
              </w:rPr>
            </w:pPr>
          </w:p>
          <w:p w14:paraId="71A0CE66" w14:textId="77777777" w:rsidR="0054063A" w:rsidRDefault="00DF6547" w:rsidP="00AD7333">
            <w:pPr>
              <w:jc w:val="both"/>
              <w:rPr>
                <w:rFonts w:cstheme="minorHAnsi"/>
                <w:b/>
                <w:bCs/>
                <w:color w:val="000000"/>
                <w:sz w:val="22"/>
                <w:szCs w:val="22"/>
                <w:bdr w:val="none" w:sz="0" w:space="0" w:color="auto" w:frame="1"/>
                <w:shd w:val="clear" w:color="auto" w:fill="FFFFFF"/>
              </w:rPr>
            </w:pPr>
            <w:r>
              <w:rPr>
                <w:rFonts w:cstheme="minorHAnsi"/>
                <w:b/>
                <w:bCs/>
                <w:color w:val="000000"/>
                <w:sz w:val="22"/>
                <w:szCs w:val="22"/>
                <w:bdr w:val="none" w:sz="0" w:space="0" w:color="auto" w:frame="1"/>
                <w:shd w:val="clear" w:color="auto" w:fill="FFFFFF"/>
              </w:rPr>
              <w:t>T</w:t>
            </w:r>
            <w:r w:rsidRPr="00DF6547">
              <w:rPr>
                <w:rFonts w:cstheme="minorHAnsi"/>
                <w:b/>
                <w:bCs/>
                <w:color w:val="000000"/>
                <w:sz w:val="22"/>
                <w:szCs w:val="22"/>
                <w:bdr w:val="none" w:sz="0" w:space="0" w:color="auto" w:frame="1"/>
                <w:shd w:val="clear" w:color="auto" w:fill="FFFFFF"/>
              </w:rPr>
              <w:t>here were no further questions or issues raised by members following due consideration and discussion it was resolved that the Employee Relations Update be received and noted.</w:t>
            </w:r>
          </w:p>
          <w:p w14:paraId="4C468637" w14:textId="1252129D" w:rsidR="00DF6547" w:rsidRPr="00DF6547" w:rsidRDefault="00DF6547" w:rsidP="00AD7333">
            <w:pPr>
              <w:jc w:val="both"/>
              <w:rPr>
                <w:rFonts w:cstheme="minorHAnsi"/>
                <w:b/>
                <w:bCs/>
                <w:sz w:val="22"/>
                <w:szCs w:val="22"/>
              </w:rPr>
            </w:pPr>
          </w:p>
        </w:tc>
      </w:tr>
      <w:tr w:rsidR="0020685E" w:rsidRPr="00AD7333" w14:paraId="50B0D9B7" w14:textId="77777777" w:rsidTr="00AD7333">
        <w:tc>
          <w:tcPr>
            <w:tcW w:w="767" w:type="pct"/>
          </w:tcPr>
          <w:p w14:paraId="6F695D7D" w14:textId="5E3E9579" w:rsidR="0020685E" w:rsidRPr="00AD7333" w:rsidRDefault="002F1537" w:rsidP="00AD7333">
            <w:pPr>
              <w:jc w:val="both"/>
              <w:rPr>
                <w:rFonts w:cstheme="minorHAnsi"/>
                <w:b/>
                <w:sz w:val="22"/>
                <w:szCs w:val="22"/>
              </w:rPr>
            </w:pPr>
            <w:r w:rsidRPr="00AD7333">
              <w:rPr>
                <w:rFonts w:cstheme="minorHAnsi"/>
                <w:b/>
                <w:sz w:val="22"/>
                <w:szCs w:val="22"/>
              </w:rPr>
              <w:lastRenderedPageBreak/>
              <w:t>RES/09/22</w:t>
            </w:r>
          </w:p>
        </w:tc>
        <w:tc>
          <w:tcPr>
            <w:tcW w:w="4233" w:type="pct"/>
          </w:tcPr>
          <w:p w14:paraId="0FED582F" w14:textId="77777777" w:rsidR="0020685E" w:rsidRPr="00AD7333" w:rsidRDefault="002F1537" w:rsidP="00AD7333">
            <w:pPr>
              <w:jc w:val="both"/>
              <w:rPr>
                <w:rFonts w:cstheme="minorHAnsi"/>
                <w:bCs/>
                <w:sz w:val="22"/>
                <w:szCs w:val="22"/>
              </w:rPr>
            </w:pPr>
            <w:r w:rsidRPr="00AD7333">
              <w:rPr>
                <w:rFonts w:cstheme="minorHAnsi"/>
                <w:b/>
                <w:sz w:val="22"/>
                <w:szCs w:val="22"/>
              </w:rPr>
              <w:t>Digital Strategy 2021-2024 Mid-Year Update</w:t>
            </w:r>
          </w:p>
          <w:p w14:paraId="4680069B" w14:textId="13EA5B0D" w:rsidR="002F1537" w:rsidRPr="00AD7333" w:rsidRDefault="002F1537" w:rsidP="00AD7333">
            <w:pPr>
              <w:jc w:val="both"/>
              <w:rPr>
                <w:rFonts w:cstheme="minorHAnsi"/>
                <w:bCs/>
                <w:sz w:val="22"/>
                <w:szCs w:val="22"/>
              </w:rPr>
            </w:pPr>
          </w:p>
          <w:p w14:paraId="02A79F5E" w14:textId="53F1FC9E" w:rsidR="00B42D2A" w:rsidRPr="00AD7333" w:rsidRDefault="00B42D2A" w:rsidP="00AD7333">
            <w:pPr>
              <w:jc w:val="both"/>
              <w:rPr>
                <w:rFonts w:cstheme="minorHAnsi"/>
                <w:bCs/>
                <w:sz w:val="22"/>
                <w:szCs w:val="22"/>
              </w:rPr>
            </w:pPr>
            <w:r w:rsidRPr="00AD7333">
              <w:rPr>
                <w:rFonts w:cstheme="minorHAnsi"/>
                <w:bCs/>
                <w:sz w:val="22"/>
                <w:szCs w:val="22"/>
              </w:rPr>
              <w:t xml:space="preserve">The ELT Consultant (ELTC) referred members to the previously circulated report and the mid-year update in respect of the Digital Strategy 2021/2024.  The ELTC also introduced the Director of IT and Digital Services </w:t>
            </w:r>
            <w:r w:rsidR="002C123F" w:rsidRPr="00AD7333">
              <w:rPr>
                <w:rFonts w:cstheme="minorHAnsi"/>
                <w:bCs/>
                <w:sz w:val="22"/>
                <w:szCs w:val="22"/>
              </w:rPr>
              <w:t xml:space="preserve">(DITDS) </w:t>
            </w:r>
            <w:r w:rsidRPr="00AD7333">
              <w:rPr>
                <w:rFonts w:cstheme="minorHAnsi"/>
                <w:bCs/>
                <w:sz w:val="22"/>
                <w:szCs w:val="22"/>
              </w:rPr>
              <w:t xml:space="preserve">who was attending his first meeting of the Resources Committee.  </w:t>
            </w:r>
          </w:p>
          <w:p w14:paraId="64BA678A" w14:textId="3A6BBAA0" w:rsidR="00B42D2A" w:rsidRPr="00AD7333" w:rsidRDefault="00B42D2A" w:rsidP="00AD7333">
            <w:pPr>
              <w:jc w:val="both"/>
              <w:rPr>
                <w:rFonts w:cstheme="minorHAnsi"/>
                <w:bCs/>
                <w:sz w:val="22"/>
                <w:szCs w:val="22"/>
              </w:rPr>
            </w:pPr>
          </w:p>
          <w:p w14:paraId="51E35986" w14:textId="39BF3A6D" w:rsidR="00B42D2A" w:rsidRPr="00AD7333" w:rsidRDefault="00B42D2A" w:rsidP="00AD7333">
            <w:pPr>
              <w:jc w:val="both"/>
              <w:rPr>
                <w:rFonts w:cstheme="minorHAnsi"/>
                <w:bCs/>
                <w:sz w:val="22"/>
                <w:szCs w:val="22"/>
              </w:rPr>
            </w:pPr>
            <w:r w:rsidRPr="00AD7333">
              <w:rPr>
                <w:rFonts w:cstheme="minorHAnsi"/>
                <w:bCs/>
                <w:sz w:val="22"/>
                <w:szCs w:val="22"/>
              </w:rPr>
              <w:t xml:space="preserve">The ELTC </w:t>
            </w:r>
            <w:r w:rsidR="000162F0" w:rsidRPr="00AD7333">
              <w:rPr>
                <w:rFonts w:cstheme="minorHAnsi"/>
                <w:bCs/>
                <w:sz w:val="22"/>
                <w:szCs w:val="22"/>
              </w:rPr>
              <w:t>stated that the report presented an update on the refreshed Digital Strategy 2021/2024 and provided a focus on the development of infrastructure, platforms and projects in IT, MIS, Teaching and Learning.  Reference was made to the support received from the link governors and the excellent feedback provided.</w:t>
            </w:r>
          </w:p>
          <w:p w14:paraId="78314A0D" w14:textId="15F2C87D" w:rsidR="000162F0" w:rsidRPr="00AD7333" w:rsidRDefault="000162F0" w:rsidP="00AD7333">
            <w:pPr>
              <w:jc w:val="both"/>
              <w:rPr>
                <w:rFonts w:cstheme="minorHAnsi"/>
                <w:bCs/>
                <w:sz w:val="22"/>
                <w:szCs w:val="22"/>
              </w:rPr>
            </w:pPr>
          </w:p>
          <w:p w14:paraId="1E022F51" w14:textId="7BFBE232" w:rsidR="000162F0" w:rsidRPr="00AD7333" w:rsidRDefault="000162F0" w:rsidP="00AD7333">
            <w:pPr>
              <w:jc w:val="both"/>
              <w:rPr>
                <w:rFonts w:cstheme="minorHAnsi"/>
                <w:bCs/>
                <w:sz w:val="22"/>
                <w:szCs w:val="22"/>
              </w:rPr>
            </w:pPr>
            <w:r w:rsidRPr="00AD7333">
              <w:rPr>
                <w:rFonts w:cstheme="minorHAnsi"/>
                <w:bCs/>
                <w:sz w:val="22"/>
                <w:szCs w:val="22"/>
              </w:rPr>
              <w:t>The ELTC highlighted the following areas:</w:t>
            </w:r>
          </w:p>
          <w:p w14:paraId="092181F7" w14:textId="6583A67D" w:rsidR="000162F0" w:rsidRPr="00AD7333" w:rsidRDefault="000162F0" w:rsidP="00AD7333">
            <w:pPr>
              <w:jc w:val="both"/>
              <w:rPr>
                <w:rFonts w:cstheme="minorHAnsi"/>
                <w:bCs/>
                <w:sz w:val="22"/>
                <w:szCs w:val="22"/>
              </w:rPr>
            </w:pPr>
          </w:p>
          <w:p w14:paraId="0696E760" w14:textId="7478AA3E" w:rsidR="000162F0" w:rsidRPr="00AD7333" w:rsidRDefault="00646698" w:rsidP="00477AC2">
            <w:pPr>
              <w:pStyle w:val="ListParagraph"/>
              <w:numPr>
                <w:ilvl w:val="0"/>
                <w:numId w:val="7"/>
              </w:numPr>
              <w:ind w:left="395" w:hanging="425"/>
              <w:jc w:val="both"/>
              <w:rPr>
                <w:rFonts w:cstheme="minorHAnsi"/>
                <w:bCs/>
                <w:sz w:val="22"/>
                <w:szCs w:val="22"/>
              </w:rPr>
            </w:pPr>
            <w:r w:rsidRPr="00AD7333">
              <w:rPr>
                <w:rFonts w:cstheme="minorHAnsi"/>
                <w:bCs/>
                <w:sz w:val="22"/>
                <w:szCs w:val="22"/>
              </w:rPr>
              <w:t>s</w:t>
            </w:r>
            <w:r w:rsidR="000162F0" w:rsidRPr="00AD7333">
              <w:rPr>
                <w:rFonts w:cstheme="minorHAnsi"/>
                <w:bCs/>
                <w:sz w:val="22"/>
                <w:szCs w:val="22"/>
              </w:rPr>
              <w:t>tudent out</w:t>
            </w:r>
            <w:r w:rsidRPr="00AD7333">
              <w:rPr>
                <w:rFonts w:cstheme="minorHAnsi"/>
                <w:bCs/>
                <w:sz w:val="22"/>
                <w:szCs w:val="22"/>
              </w:rPr>
              <w:t>c</w:t>
            </w:r>
            <w:r w:rsidR="000162F0" w:rsidRPr="00AD7333">
              <w:rPr>
                <w:rFonts w:cstheme="minorHAnsi"/>
                <w:bCs/>
                <w:sz w:val="22"/>
                <w:szCs w:val="22"/>
              </w:rPr>
              <w:t>omes</w:t>
            </w:r>
            <w:r w:rsidRPr="00AD7333">
              <w:rPr>
                <w:rFonts w:cstheme="minorHAnsi"/>
                <w:bCs/>
                <w:sz w:val="22"/>
                <w:szCs w:val="22"/>
              </w:rPr>
              <w:t xml:space="preserve"> from the Digital Teaching Learning and Assessment </w:t>
            </w:r>
            <w:r w:rsidR="002C123F" w:rsidRPr="00AD7333">
              <w:rPr>
                <w:rFonts w:cstheme="minorHAnsi"/>
                <w:bCs/>
                <w:sz w:val="22"/>
                <w:szCs w:val="22"/>
              </w:rPr>
              <w:t xml:space="preserve">(TLA) </w:t>
            </w:r>
            <w:r w:rsidRPr="00AD7333">
              <w:rPr>
                <w:rFonts w:cstheme="minorHAnsi"/>
                <w:bCs/>
                <w:sz w:val="22"/>
                <w:szCs w:val="22"/>
              </w:rPr>
              <w:t>Excellence Projects</w:t>
            </w:r>
          </w:p>
          <w:p w14:paraId="09B3AF42" w14:textId="77D4726D" w:rsidR="00646698" w:rsidRPr="00AD7333" w:rsidRDefault="00646698" w:rsidP="00477AC2">
            <w:pPr>
              <w:pStyle w:val="ListParagraph"/>
              <w:numPr>
                <w:ilvl w:val="0"/>
                <w:numId w:val="7"/>
              </w:numPr>
              <w:ind w:left="395" w:hanging="425"/>
              <w:jc w:val="both"/>
              <w:rPr>
                <w:rFonts w:cstheme="minorHAnsi"/>
                <w:bCs/>
                <w:sz w:val="22"/>
                <w:szCs w:val="22"/>
              </w:rPr>
            </w:pPr>
            <w:r w:rsidRPr="00AD7333">
              <w:rPr>
                <w:rFonts w:cstheme="minorHAnsi"/>
                <w:bCs/>
                <w:sz w:val="22"/>
                <w:szCs w:val="22"/>
              </w:rPr>
              <w:t>digitally supported independent student study (Digital Entitlement for Students)</w:t>
            </w:r>
          </w:p>
          <w:p w14:paraId="2C36C259" w14:textId="215CC04A" w:rsidR="00646698" w:rsidRPr="00AD7333" w:rsidRDefault="00646698" w:rsidP="00477AC2">
            <w:pPr>
              <w:pStyle w:val="ListParagraph"/>
              <w:numPr>
                <w:ilvl w:val="0"/>
                <w:numId w:val="7"/>
              </w:numPr>
              <w:ind w:left="395" w:hanging="425"/>
              <w:jc w:val="both"/>
              <w:rPr>
                <w:rFonts w:cstheme="minorHAnsi"/>
                <w:bCs/>
                <w:sz w:val="22"/>
                <w:szCs w:val="22"/>
              </w:rPr>
            </w:pPr>
            <w:r w:rsidRPr="00AD7333">
              <w:rPr>
                <w:rFonts w:cstheme="minorHAnsi"/>
                <w:bCs/>
                <w:sz w:val="22"/>
                <w:szCs w:val="22"/>
              </w:rPr>
              <w:t xml:space="preserve">Digital Solutions for Staff </w:t>
            </w:r>
            <w:r w:rsidR="002C123F" w:rsidRPr="00AD7333">
              <w:rPr>
                <w:rFonts w:cstheme="minorHAnsi"/>
                <w:bCs/>
                <w:sz w:val="22"/>
                <w:szCs w:val="22"/>
              </w:rPr>
              <w:t>including digital confidence building and support for new teachers</w:t>
            </w:r>
          </w:p>
          <w:p w14:paraId="745FB637" w14:textId="2FC386CD" w:rsidR="00646698" w:rsidRPr="00AD7333" w:rsidRDefault="00646698" w:rsidP="00477AC2">
            <w:pPr>
              <w:pStyle w:val="ListParagraph"/>
              <w:numPr>
                <w:ilvl w:val="0"/>
                <w:numId w:val="7"/>
              </w:numPr>
              <w:ind w:left="395" w:hanging="425"/>
              <w:jc w:val="both"/>
              <w:rPr>
                <w:rFonts w:cstheme="minorHAnsi"/>
                <w:bCs/>
                <w:sz w:val="22"/>
                <w:szCs w:val="22"/>
              </w:rPr>
            </w:pPr>
            <w:r w:rsidRPr="00AD7333">
              <w:rPr>
                <w:rFonts w:cstheme="minorHAnsi"/>
                <w:bCs/>
                <w:sz w:val="22"/>
                <w:szCs w:val="22"/>
              </w:rPr>
              <w:t>work to support the strategy and the next years Excellence Projects.</w:t>
            </w:r>
          </w:p>
          <w:p w14:paraId="68474CF5" w14:textId="5427F233" w:rsidR="00B42D2A" w:rsidRPr="00AD7333" w:rsidRDefault="00B42D2A" w:rsidP="00AD7333">
            <w:pPr>
              <w:jc w:val="both"/>
              <w:rPr>
                <w:rFonts w:cstheme="minorHAnsi"/>
                <w:bCs/>
                <w:sz w:val="22"/>
                <w:szCs w:val="22"/>
              </w:rPr>
            </w:pPr>
          </w:p>
          <w:p w14:paraId="1B837B1A" w14:textId="0EA98A30" w:rsidR="002C123F" w:rsidRPr="00AD7333" w:rsidRDefault="002C123F" w:rsidP="00AD7333">
            <w:pPr>
              <w:jc w:val="both"/>
              <w:rPr>
                <w:rFonts w:cstheme="minorHAnsi"/>
                <w:bCs/>
                <w:sz w:val="22"/>
                <w:szCs w:val="22"/>
              </w:rPr>
            </w:pPr>
            <w:r w:rsidRPr="00AD7333">
              <w:rPr>
                <w:rFonts w:cstheme="minorHAnsi"/>
                <w:bCs/>
                <w:sz w:val="22"/>
                <w:szCs w:val="22"/>
              </w:rPr>
              <w:t>The ELTC further confirmed that the update to the next meeting would include the full strategy and rag rating of progress against the commitments.</w:t>
            </w:r>
          </w:p>
          <w:p w14:paraId="19270006" w14:textId="08389C95" w:rsidR="00F075DA" w:rsidRPr="00AD7333" w:rsidRDefault="00F075DA" w:rsidP="00AD7333">
            <w:pPr>
              <w:jc w:val="both"/>
              <w:rPr>
                <w:rFonts w:cstheme="minorHAnsi"/>
                <w:bCs/>
                <w:sz w:val="22"/>
                <w:szCs w:val="22"/>
              </w:rPr>
            </w:pPr>
          </w:p>
          <w:p w14:paraId="7EDBAEA8" w14:textId="7F8ADA67" w:rsidR="00F075DA" w:rsidRPr="00AD7333" w:rsidRDefault="00F075DA" w:rsidP="00AD7333">
            <w:pPr>
              <w:jc w:val="both"/>
              <w:rPr>
                <w:rFonts w:cstheme="minorHAnsi"/>
                <w:b/>
                <w:sz w:val="22"/>
                <w:szCs w:val="22"/>
              </w:rPr>
            </w:pPr>
            <w:r w:rsidRPr="00AD7333">
              <w:rPr>
                <w:rFonts w:cstheme="minorHAnsi"/>
                <w:b/>
                <w:sz w:val="22"/>
                <w:szCs w:val="22"/>
              </w:rPr>
              <w:t xml:space="preserve">Action:  ELT Consultant </w:t>
            </w:r>
          </w:p>
          <w:p w14:paraId="76D811C8" w14:textId="5A2F0D6E" w:rsidR="002C123F" w:rsidRPr="00AD7333" w:rsidRDefault="002C123F" w:rsidP="00AD7333">
            <w:pPr>
              <w:jc w:val="both"/>
              <w:rPr>
                <w:rFonts w:cstheme="minorHAnsi"/>
                <w:bCs/>
                <w:sz w:val="22"/>
                <w:szCs w:val="22"/>
              </w:rPr>
            </w:pPr>
          </w:p>
          <w:p w14:paraId="5A2324D4" w14:textId="0CE9A5F8" w:rsidR="002C123F" w:rsidRPr="00AD7333" w:rsidRDefault="002C123F" w:rsidP="00AD7333">
            <w:pPr>
              <w:jc w:val="both"/>
              <w:rPr>
                <w:rFonts w:cstheme="minorHAnsi"/>
                <w:bCs/>
                <w:sz w:val="22"/>
                <w:szCs w:val="22"/>
              </w:rPr>
            </w:pPr>
            <w:r w:rsidRPr="00AD7333">
              <w:rPr>
                <w:rFonts w:cstheme="minorHAnsi"/>
                <w:bCs/>
                <w:sz w:val="22"/>
                <w:szCs w:val="22"/>
              </w:rPr>
              <w:t>The DITDS added that alongside the strategy sat a capital resource plan which outlined the costs involved and moving forward would form the basis for future capital bids.  There was confirmation that there would be a rolling resource plan to match the Digital Strategy.</w:t>
            </w:r>
          </w:p>
          <w:p w14:paraId="58F44D58" w14:textId="5137A760" w:rsidR="002C123F" w:rsidRPr="00AD7333" w:rsidRDefault="002C123F" w:rsidP="00AD7333">
            <w:pPr>
              <w:jc w:val="both"/>
              <w:rPr>
                <w:rFonts w:cstheme="minorHAnsi"/>
                <w:bCs/>
                <w:sz w:val="22"/>
                <w:szCs w:val="22"/>
              </w:rPr>
            </w:pPr>
          </w:p>
          <w:p w14:paraId="5F1CEB75" w14:textId="222EB33F" w:rsidR="002C123F" w:rsidRPr="00AD7333" w:rsidRDefault="002C123F" w:rsidP="00AD7333">
            <w:pPr>
              <w:jc w:val="both"/>
              <w:rPr>
                <w:rFonts w:cstheme="minorHAnsi"/>
                <w:b/>
                <w:sz w:val="22"/>
                <w:szCs w:val="22"/>
              </w:rPr>
            </w:pPr>
            <w:r w:rsidRPr="00AD7333">
              <w:rPr>
                <w:rFonts w:cstheme="minorHAnsi"/>
                <w:b/>
                <w:sz w:val="22"/>
                <w:szCs w:val="22"/>
              </w:rPr>
              <w:t xml:space="preserve">There were no questions or issues raised by members and following due consideration it was resolved that the </w:t>
            </w:r>
            <w:r w:rsidR="00906558" w:rsidRPr="00AD7333">
              <w:rPr>
                <w:rFonts w:cstheme="minorHAnsi"/>
                <w:b/>
                <w:sz w:val="22"/>
                <w:szCs w:val="22"/>
              </w:rPr>
              <w:t xml:space="preserve">Digital Strategy 2021/2024 </w:t>
            </w:r>
            <w:r w:rsidR="00F075DA" w:rsidRPr="00AD7333">
              <w:rPr>
                <w:rFonts w:cstheme="minorHAnsi"/>
                <w:b/>
                <w:sz w:val="22"/>
                <w:szCs w:val="22"/>
              </w:rPr>
              <w:t>mid-year</w:t>
            </w:r>
            <w:r w:rsidR="00906558" w:rsidRPr="00AD7333">
              <w:rPr>
                <w:rFonts w:cstheme="minorHAnsi"/>
                <w:b/>
                <w:sz w:val="22"/>
                <w:szCs w:val="22"/>
              </w:rPr>
              <w:t xml:space="preserve"> update be received and noted.</w:t>
            </w:r>
          </w:p>
          <w:p w14:paraId="377160F8" w14:textId="77777777" w:rsidR="002F1537" w:rsidRDefault="002F1537" w:rsidP="00AD7333">
            <w:pPr>
              <w:jc w:val="both"/>
              <w:rPr>
                <w:rFonts w:cstheme="minorHAnsi"/>
                <w:bCs/>
                <w:sz w:val="22"/>
                <w:szCs w:val="22"/>
              </w:rPr>
            </w:pPr>
          </w:p>
          <w:p w14:paraId="41651685" w14:textId="77777777" w:rsidR="00AD7333" w:rsidRDefault="00AD7333" w:rsidP="00AD7333">
            <w:pPr>
              <w:jc w:val="both"/>
              <w:rPr>
                <w:rFonts w:cstheme="minorHAnsi"/>
                <w:bCs/>
                <w:sz w:val="22"/>
                <w:szCs w:val="22"/>
              </w:rPr>
            </w:pPr>
          </w:p>
          <w:p w14:paraId="39334817" w14:textId="77777777" w:rsidR="00AD7333" w:rsidRDefault="00AD7333" w:rsidP="00AD7333">
            <w:pPr>
              <w:jc w:val="both"/>
              <w:rPr>
                <w:rFonts w:cstheme="minorHAnsi"/>
                <w:bCs/>
                <w:sz w:val="22"/>
                <w:szCs w:val="22"/>
              </w:rPr>
            </w:pPr>
          </w:p>
          <w:p w14:paraId="38347D1F" w14:textId="5E1DD2F7" w:rsidR="00AD7333" w:rsidRPr="00AD7333" w:rsidRDefault="00AD7333" w:rsidP="00AD7333">
            <w:pPr>
              <w:jc w:val="both"/>
              <w:rPr>
                <w:rFonts w:cstheme="minorHAnsi"/>
                <w:bCs/>
                <w:sz w:val="22"/>
                <w:szCs w:val="22"/>
              </w:rPr>
            </w:pPr>
          </w:p>
        </w:tc>
      </w:tr>
      <w:tr w:rsidR="0020685E" w:rsidRPr="00AD7333" w14:paraId="2BD87A83" w14:textId="77777777" w:rsidTr="00AD7333">
        <w:tc>
          <w:tcPr>
            <w:tcW w:w="767" w:type="pct"/>
          </w:tcPr>
          <w:p w14:paraId="7484506E" w14:textId="20E5B42B" w:rsidR="0020685E" w:rsidRPr="00AD7333" w:rsidRDefault="002F1537" w:rsidP="00AD7333">
            <w:pPr>
              <w:jc w:val="both"/>
              <w:rPr>
                <w:rFonts w:cstheme="minorHAnsi"/>
                <w:b/>
                <w:sz w:val="22"/>
                <w:szCs w:val="22"/>
              </w:rPr>
            </w:pPr>
            <w:r w:rsidRPr="00AD7333">
              <w:rPr>
                <w:rFonts w:cstheme="minorHAnsi"/>
                <w:b/>
                <w:sz w:val="22"/>
                <w:szCs w:val="22"/>
              </w:rPr>
              <w:lastRenderedPageBreak/>
              <w:t>RES/10/22</w:t>
            </w:r>
          </w:p>
        </w:tc>
        <w:tc>
          <w:tcPr>
            <w:tcW w:w="4233" w:type="pct"/>
          </w:tcPr>
          <w:p w14:paraId="2E97DF4A" w14:textId="77777777" w:rsidR="00143B96" w:rsidRPr="00AD7333" w:rsidRDefault="002F1537" w:rsidP="00AD7333">
            <w:pPr>
              <w:jc w:val="both"/>
              <w:rPr>
                <w:rFonts w:cstheme="minorHAnsi"/>
                <w:sz w:val="22"/>
                <w:szCs w:val="22"/>
              </w:rPr>
            </w:pPr>
            <w:r w:rsidRPr="00AD7333">
              <w:rPr>
                <w:rFonts w:cstheme="minorHAnsi"/>
                <w:b/>
                <w:bCs/>
                <w:sz w:val="22"/>
                <w:szCs w:val="22"/>
              </w:rPr>
              <w:t>Accommodation Update 2022</w:t>
            </w:r>
          </w:p>
          <w:p w14:paraId="139E7170" w14:textId="70C1442D" w:rsidR="002F1537" w:rsidRPr="00AD7333" w:rsidRDefault="002F1537" w:rsidP="00AD7333">
            <w:pPr>
              <w:jc w:val="both"/>
              <w:rPr>
                <w:rFonts w:cstheme="minorHAnsi"/>
                <w:sz w:val="22"/>
                <w:szCs w:val="22"/>
              </w:rPr>
            </w:pPr>
          </w:p>
          <w:p w14:paraId="41615E2B" w14:textId="10CCBCDA" w:rsidR="00906558" w:rsidRPr="00AD7333" w:rsidRDefault="00906558" w:rsidP="00AD7333">
            <w:pPr>
              <w:jc w:val="both"/>
              <w:rPr>
                <w:rFonts w:cstheme="minorHAnsi"/>
                <w:sz w:val="22"/>
                <w:szCs w:val="22"/>
              </w:rPr>
            </w:pPr>
            <w:r w:rsidRPr="00AD7333">
              <w:rPr>
                <w:rFonts w:cstheme="minorHAnsi"/>
                <w:sz w:val="22"/>
                <w:szCs w:val="22"/>
              </w:rPr>
              <w:t>The VPCSP referred members to the previously circulated report and an update on accommodation strategy activities for the Group.</w:t>
            </w:r>
          </w:p>
          <w:p w14:paraId="1975BFBB" w14:textId="40FD9BA4" w:rsidR="00906558" w:rsidRPr="00AD7333" w:rsidRDefault="00906558" w:rsidP="00AD7333">
            <w:pPr>
              <w:jc w:val="both"/>
              <w:rPr>
                <w:rFonts w:cstheme="minorHAnsi"/>
                <w:sz w:val="22"/>
                <w:szCs w:val="22"/>
              </w:rPr>
            </w:pPr>
          </w:p>
          <w:p w14:paraId="5C48C961" w14:textId="4CDEAF66" w:rsidR="00792F17" w:rsidRPr="00AD7333" w:rsidRDefault="00792F17" w:rsidP="00AD7333">
            <w:pPr>
              <w:jc w:val="both"/>
              <w:rPr>
                <w:rFonts w:cstheme="minorHAnsi"/>
                <w:sz w:val="22"/>
                <w:szCs w:val="22"/>
              </w:rPr>
            </w:pPr>
            <w:r w:rsidRPr="00AD7333">
              <w:rPr>
                <w:rFonts w:cstheme="minorHAnsi"/>
                <w:sz w:val="22"/>
                <w:szCs w:val="22"/>
              </w:rPr>
              <w:t xml:space="preserve">The following </w:t>
            </w:r>
            <w:r w:rsidR="00E0094D" w:rsidRPr="00AD7333">
              <w:rPr>
                <w:rFonts w:cstheme="minorHAnsi"/>
                <w:sz w:val="22"/>
                <w:szCs w:val="22"/>
              </w:rPr>
              <w:t>updates were reported:</w:t>
            </w:r>
          </w:p>
          <w:p w14:paraId="15FBBF0A" w14:textId="75DC9415" w:rsidR="00E0094D" w:rsidRPr="00AD7333" w:rsidRDefault="00E0094D" w:rsidP="00AD7333">
            <w:pPr>
              <w:jc w:val="both"/>
              <w:rPr>
                <w:rFonts w:cstheme="minorHAnsi"/>
                <w:sz w:val="22"/>
                <w:szCs w:val="22"/>
              </w:rPr>
            </w:pPr>
          </w:p>
          <w:p w14:paraId="349F51A1" w14:textId="77777777" w:rsidR="00E0094D" w:rsidRPr="00AD7333" w:rsidRDefault="00E0094D" w:rsidP="00477AC2">
            <w:pPr>
              <w:pStyle w:val="ListParagraph"/>
              <w:numPr>
                <w:ilvl w:val="0"/>
                <w:numId w:val="8"/>
              </w:numPr>
              <w:ind w:left="395" w:hanging="395"/>
              <w:jc w:val="both"/>
              <w:rPr>
                <w:rFonts w:cstheme="minorHAnsi"/>
                <w:sz w:val="22"/>
                <w:szCs w:val="22"/>
              </w:rPr>
            </w:pPr>
            <w:r w:rsidRPr="00AD7333">
              <w:rPr>
                <w:rFonts w:cstheme="minorHAnsi"/>
                <w:sz w:val="22"/>
                <w:szCs w:val="22"/>
              </w:rPr>
              <w:t>Stockport Campus Re-development - the multi-purpose hall had been demolished and Phase 2 works had commenced with the anticipated completion date for the project bring 8 December 2022</w:t>
            </w:r>
          </w:p>
          <w:p w14:paraId="288BEC4C" w14:textId="23F8D524" w:rsidR="003860A0" w:rsidRPr="00AD7333" w:rsidRDefault="003860A0" w:rsidP="00477AC2">
            <w:pPr>
              <w:pStyle w:val="ListParagraph"/>
              <w:numPr>
                <w:ilvl w:val="0"/>
                <w:numId w:val="8"/>
              </w:numPr>
              <w:ind w:left="395" w:hanging="395"/>
              <w:jc w:val="both"/>
              <w:rPr>
                <w:rFonts w:cstheme="minorHAnsi"/>
                <w:sz w:val="22"/>
                <w:szCs w:val="22"/>
              </w:rPr>
            </w:pPr>
            <w:r w:rsidRPr="00AD7333">
              <w:rPr>
                <w:rFonts w:cstheme="minorHAnsi"/>
                <w:sz w:val="22"/>
                <w:szCs w:val="22"/>
              </w:rPr>
              <w:t xml:space="preserve">Cheadle and Marple Capital Application – no formal notification had been received in respect of the bid other than </w:t>
            </w:r>
            <w:r w:rsidR="00617052" w:rsidRPr="00AD7333">
              <w:rPr>
                <w:rFonts w:cstheme="minorHAnsi"/>
                <w:sz w:val="22"/>
                <w:szCs w:val="22"/>
              </w:rPr>
              <w:t xml:space="preserve">that </w:t>
            </w:r>
            <w:r w:rsidRPr="00AD7333">
              <w:rPr>
                <w:rFonts w:cstheme="minorHAnsi"/>
                <w:sz w:val="22"/>
                <w:szCs w:val="22"/>
              </w:rPr>
              <w:t>there may be a requirement to provide further information on the educational and property reasons for not opting to relocate provision to the Stockport campus</w:t>
            </w:r>
          </w:p>
          <w:p w14:paraId="3BD1CD07" w14:textId="5D0EF69A" w:rsidR="003860A0" w:rsidRPr="00AD7333" w:rsidRDefault="003860A0" w:rsidP="00477AC2">
            <w:pPr>
              <w:pStyle w:val="ListParagraph"/>
              <w:numPr>
                <w:ilvl w:val="0"/>
                <w:numId w:val="8"/>
              </w:numPr>
              <w:ind w:left="395" w:hanging="395"/>
              <w:jc w:val="both"/>
              <w:rPr>
                <w:rFonts w:cstheme="minorHAnsi"/>
                <w:sz w:val="22"/>
                <w:szCs w:val="22"/>
              </w:rPr>
            </w:pPr>
            <w:r w:rsidRPr="00AD7333">
              <w:rPr>
                <w:rFonts w:cstheme="minorHAnsi"/>
                <w:sz w:val="22"/>
                <w:szCs w:val="22"/>
              </w:rPr>
              <w:t xml:space="preserve">Disposal plans in relation to the surplus land at the Altrincham site </w:t>
            </w:r>
            <w:r w:rsidR="00E94FDC" w:rsidRPr="00AD7333">
              <w:rPr>
                <w:rFonts w:cstheme="minorHAnsi"/>
                <w:sz w:val="22"/>
                <w:szCs w:val="22"/>
              </w:rPr>
              <w:t>continued to be slow,</w:t>
            </w:r>
            <w:r w:rsidRPr="00AD7333">
              <w:rPr>
                <w:rFonts w:cstheme="minorHAnsi"/>
                <w:sz w:val="22"/>
                <w:szCs w:val="22"/>
              </w:rPr>
              <w:t xml:space="preserve"> formal notifi</w:t>
            </w:r>
            <w:r w:rsidR="003E1640" w:rsidRPr="00AD7333">
              <w:rPr>
                <w:rFonts w:cstheme="minorHAnsi"/>
                <w:sz w:val="22"/>
                <w:szCs w:val="22"/>
              </w:rPr>
              <w:t>c</w:t>
            </w:r>
            <w:r w:rsidRPr="00AD7333">
              <w:rPr>
                <w:rFonts w:cstheme="minorHAnsi"/>
                <w:sz w:val="22"/>
                <w:szCs w:val="22"/>
              </w:rPr>
              <w:t xml:space="preserve">ation had been </w:t>
            </w:r>
            <w:r w:rsidR="003E1640" w:rsidRPr="00AD7333">
              <w:rPr>
                <w:rFonts w:cstheme="minorHAnsi"/>
                <w:sz w:val="22"/>
                <w:szCs w:val="22"/>
              </w:rPr>
              <w:t xml:space="preserve">received from Sports England that </w:t>
            </w:r>
            <w:r w:rsidR="00617052" w:rsidRPr="00AD7333">
              <w:rPr>
                <w:rFonts w:cstheme="minorHAnsi"/>
                <w:sz w:val="22"/>
                <w:szCs w:val="22"/>
              </w:rPr>
              <w:t xml:space="preserve">they </w:t>
            </w:r>
            <w:r w:rsidR="003E1640" w:rsidRPr="00AD7333">
              <w:rPr>
                <w:rFonts w:cstheme="minorHAnsi"/>
                <w:sz w:val="22"/>
                <w:szCs w:val="22"/>
              </w:rPr>
              <w:t xml:space="preserve">would not be supporting the scheme however </w:t>
            </w:r>
            <w:r w:rsidR="00F075DA" w:rsidRPr="00AD7333">
              <w:rPr>
                <w:rFonts w:cstheme="minorHAnsi"/>
                <w:sz w:val="22"/>
                <w:szCs w:val="22"/>
              </w:rPr>
              <w:t xml:space="preserve">it was believed </w:t>
            </w:r>
            <w:r w:rsidR="003E1640" w:rsidRPr="00AD7333">
              <w:rPr>
                <w:rFonts w:cstheme="minorHAnsi"/>
                <w:sz w:val="22"/>
                <w:szCs w:val="22"/>
              </w:rPr>
              <w:t>some of the facts had been incorrect and arrangements were in place for a meeting with the planners in adva</w:t>
            </w:r>
            <w:r w:rsidR="00C04E01" w:rsidRPr="00AD7333">
              <w:rPr>
                <w:rFonts w:cstheme="minorHAnsi"/>
                <w:sz w:val="22"/>
                <w:szCs w:val="22"/>
              </w:rPr>
              <w:t>nce of making a response to Sports England</w:t>
            </w:r>
          </w:p>
          <w:p w14:paraId="2A29E556" w14:textId="2241267F" w:rsidR="00E0094D" w:rsidRPr="00AD7333" w:rsidRDefault="00C04E01" w:rsidP="00477AC2">
            <w:pPr>
              <w:pStyle w:val="ListParagraph"/>
              <w:numPr>
                <w:ilvl w:val="0"/>
                <w:numId w:val="8"/>
              </w:numPr>
              <w:ind w:left="395" w:hanging="395"/>
              <w:jc w:val="both"/>
              <w:rPr>
                <w:rFonts w:cstheme="minorHAnsi"/>
                <w:sz w:val="22"/>
                <w:szCs w:val="22"/>
              </w:rPr>
            </w:pPr>
            <w:r w:rsidRPr="00AD7333">
              <w:rPr>
                <w:rFonts w:cstheme="minorHAnsi"/>
                <w:sz w:val="22"/>
                <w:szCs w:val="22"/>
              </w:rPr>
              <w:t xml:space="preserve">Potential disposal of the Lyme building and car park </w:t>
            </w:r>
            <w:r w:rsidR="00617052" w:rsidRPr="00AD7333">
              <w:rPr>
                <w:rFonts w:cstheme="minorHAnsi"/>
                <w:sz w:val="22"/>
                <w:szCs w:val="22"/>
              </w:rPr>
              <w:t xml:space="preserve">at the Stockport campus </w:t>
            </w:r>
            <w:r w:rsidRPr="00AD7333">
              <w:rPr>
                <w:rFonts w:cstheme="minorHAnsi"/>
                <w:sz w:val="22"/>
                <w:szCs w:val="22"/>
              </w:rPr>
              <w:t xml:space="preserve">– the Group had been advised that Investar were awaiting feedback from the local authority in respect of the potential scheme.  </w:t>
            </w:r>
            <w:r w:rsidR="003860A0" w:rsidRPr="00AD7333">
              <w:rPr>
                <w:rFonts w:cstheme="minorHAnsi"/>
                <w:sz w:val="22"/>
                <w:szCs w:val="22"/>
              </w:rPr>
              <w:t xml:space="preserve">  </w:t>
            </w:r>
            <w:r w:rsidR="00E0094D" w:rsidRPr="00AD7333">
              <w:rPr>
                <w:rFonts w:cstheme="minorHAnsi"/>
                <w:sz w:val="22"/>
                <w:szCs w:val="22"/>
              </w:rPr>
              <w:t xml:space="preserve"> </w:t>
            </w:r>
          </w:p>
          <w:p w14:paraId="2E760AF9" w14:textId="77777777" w:rsidR="00792F17" w:rsidRPr="00AD7333" w:rsidRDefault="00792F17" w:rsidP="00AD7333">
            <w:pPr>
              <w:jc w:val="both"/>
              <w:rPr>
                <w:rFonts w:cstheme="minorHAnsi"/>
                <w:sz w:val="22"/>
                <w:szCs w:val="22"/>
              </w:rPr>
            </w:pPr>
          </w:p>
          <w:p w14:paraId="4D24B4E3" w14:textId="7E6D8BC9" w:rsidR="00B2792E" w:rsidRPr="00AD7333" w:rsidRDefault="00C04E01" w:rsidP="00AD7333">
            <w:pPr>
              <w:jc w:val="both"/>
              <w:rPr>
                <w:rFonts w:cstheme="minorHAnsi"/>
                <w:sz w:val="22"/>
                <w:szCs w:val="22"/>
              </w:rPr>
            </w:pPr>
            <w:r w:rsidRPr="00AD7333">
              <w:rPr>
                <w:rFonts w:cstheme="minorHAnsi"/>
                <w:sz w:val="22"/>
                <w:szCs w:val="22"/>
              </w:rPr>
              <w:t>In re</w:t>
            </w:r>
            <w:r w:rsidR="001771A7" w:rsidRPr="00AD7333">
              <w:rPr>
                <w:rFonts w:cstheme="minorHAnsi"/>
                <w:sz w:val="22"/>
                <w:szCs w:val="22"/>
              </w:rPr>
              <w:t>lation to</w:t>
            </w:r>
            <w:r w:rsidRPr="00AD7333">
              <w:rPr>
                <w:rFonts w:cstheme="minorHAnsi"/>
                <w:sz w:val="22"/>
                <w:szCs w:val="22"/>
              </w:rPr>
              <w:t xml:space="preserve"> the T Levels Capital Fund Wave 3 application for health and science it was reported that the Group had received notification of its approval in-principle.  </w:t>
            </w:r>
            <w:r w:rsidR="00B154B8" w:rsidRPr="00AD7333">
              <w:rPr>
                <w:rFonts w:cstheme="minorHAnsi"/>
                <w:sz w:val="22"/>
                <w:szCs w:val="22"/>
              </w:rPr>
              <w:t>There was confirmation that a grant of £261k (65%) of the total project costs of £401k had been received and that Seddon would be undertaking the works as part of the Phase 2 contract.</w:t>
            </w:r>
          </w:p>
          <w:p w14:paraId="446C4862" w14:textId="0921BEA2" w:rsidR="00B154B8" w:rsidRPr="00AD7333" w:rsidRDefault="00B154B8" w:rsidP="00AD7333">
            <w:pPr>
              <w:jc w:val="both"/>
              <w:rPr>
                <w:rFonts w:cstheme="minorHAnsi"/>
                <w:sz w:val="22"/>
                <w:szCs w:val="22"/>
              </w:rPr>
            </w:pPr>
          </w:p>
          <w:p w14:paraId="6E9AF6F5" w14:textId="3D412AF2" w:rsidR="00B154B8" w:rsidRPr="00AD7333" w:rsidRDefault="00B154B8" w:rsidP="00AD7333">
            <w:pPr>
              <w:jc w:val="both"/>
              <w:rPr>
                <w:rFonts w:cstheme="minorHAnsi"/>
                <w:sz w:val="22"/>
                <w:szCs w:val="22"/>
              </w:rPr>
            </w:pPr>
            <w:r w:rsidRPr="00AD7333">
              <w:rPr>
                <w:rFonts w:cstheme="minorHAnsi"/>
                <w:sz w:val="22"/>
                <w:szCs w:val="22"/>
              </w:rPr>
              <w:t xml:space="preserve">It was further confirmed that the Group had received a grant of £480k under the T Levels Specialist Equipment Allowance for the </w:t>
            </w:r>
            <w:r w:rsidR="0039362A" w:rsidRPr="00AD7333">
              <w:rPr>
                <w:rFonts w:cstheme="minorHAnsi"/>
                <w:sz w:val="22"/>
                <w:szCs w:val="22"/>
              </w:rPr>
              <w:t>purchase of equipment to support the delivery of T Levels in 2022/2023 in health and science, legal, finance and accounting and engineering and manufacturing.  There was confirmation that any unspent monies would need to be repaid.</w:t>
            </w:r>
          </w:p>
          <w:p w14:paraId="08195DBC" w14:textId="502DA447" w:rsidR="0039362A" w:rsidRPr="00AD7333" w:rsidRDefault="0039362A" w:rsidP="00AD7333">
            <w:pPr>
              <w:jc w:val="both"/>
              <w:rPr>
                <w:rFonts w:cstheme="minorHAnsi"/>
                <w:sz w:val="22"/>
                <w:szCs w:val="22"/>
              </w:rPr>
            </w:pPr>
          </w:p>
          <w:p w14:paraId="699BA016" w14:textId="104588E1" w:rsidR="0039362A" w:rsidRPr="00AD7333" w:rsidRDefault="0039362A" w:rsidP="00AD7333">
            <w:pPr>
              <w:jc w:val="both"/>
              <w:rPr>
                <w:rFonts w:cstheme="minorHAnsi"/>
                <w:sz w:val="22"/>
                <w:szCs w:val="22"/>
              </w:rPr>
            </w:pPr>
            <w:r w:rsidRPr="00AD7333">
              <w:rPr>
                <w:rFonts w:cstheme="minorHAnsi"/>
                <w:sz w:val="22"/>
                <w:szCs w:val="22"/>
              </w:rPr>
              <w:t>A</w:t>
            </w:r>
            <w:r w:rsidR="00F075DA" w:rsidRPr="00AD7333">
              <w:rPr>
                <w:rFonts w:cstheme="minorHAnsi"/>
                <w:sz w:val="22"/>
                <w:szCs w:val="22"/>
              </w:rPr>
              <w:t>n</w:t>
            </w:r>
            <w:r w:rsidRPr="00AD7333">
              <w:rPr>
                <w:rFonts w:cstheme="minorHAnsi"/>
                <w:sz w:val="22"/>
                <w:szCs w:val="22"/>
              </w:rPr>
              <w:t xml:space="preserve"> update was also presented in respect of the grant allocated to the </w:t>
            </w:r>
            <w:r w:rsidR="00B950DF" w:rsidRPr="00AD7333">
              <w:rPr>
                <w:rFonts w:cstheme="minorHAnsi"/>
                <w:sz w:val="22"/>
                <w:szCs w:val="22"/>
              </w:rPr>
              <w:t>G</w:t>
            </w:r>
            <w:r w:rsidRPr="00AD7333">
              <w:rPr>
                <w:rFonts w:cstheme="minorHAnsi"/>
                <w:sz w:val="22"/>
                <w:szCs w:val="22"/>
              </w:rPr>
              <w:t>roup of £1.35m to undertake works to achieve the condition improvement of substandard or deteriorating buildings as identified by the FE Condition Data Collection (FE CDC) or other college surveys.  It was reported that improvement works had subsequently taken place and confirmation had now been received that the funding return had been approved.</w:t>
            </w:r>
          </w:p>
          <w:p w14:paraId="0A9017BD" w14:textId="77777777" w:rsidR="0039362A" w:rsidRPr="00AD7333" w:rsidRDefault="0039362A" w:rsidP="00AD7333">
            <w:pPr>
              <w:jc w:val="both"/>
              <w:rPr>
                <w:rFonts w:cstheme="minorHAnsi"/>
                <w:sz w:val="22"/>
                <w:szCs w:val="22"/>
              </w:rPr>
            </w:pPr>
          </w:p>
          <w:p w14:paraId="09C51EE8" w14:textId="77777777" w:rsidR="0039362A" w:rsidRPr="00AD7333" w:rsidRDefault="0039362A" w:rsidP="00AD7333">
            <w:pPr>
              <w:jc w:val="both"/>
              <w:rPr>
                <w:rFonts w:cstheme="minorHAnsi"/>
                <w:sz w:val="22"/>
                <w:szCs w:val="22"/>
              </w:rPr>
            </w:pPr>
            <w:r w:rsidRPr="00AD7333">
              <w:rPr>
                <w:rFonts w:cstheme="minorHAnsi"/>
                <w:sz w:val="22"/>
                <w:szCs w:val="22"/>
              </w:rPr>
              <w:t>Questions from members were invited.</w:t>
            </w:r>
          </w:p>
          <w:p w14:paraId="1C500967" w14:textId="77777777" w:rsidR="0039362A" w:rsidRPr="00AD7333" w:rsidRDefault="0039362A" w:rsidP="00AD7333">
            <w:pPr>
              <w:jc w:val="both"/>
              <w:rPr>
                <w:rFonts w:cstheme="minorHAnsi"/>
                <w:sz w:val="22"/>
                <w:szCs w:val="22"/>
              </w:rPr>
            </w:pPr>
          </w:p>
          <w:p w14:paraId="02040D5D" w14:textId="37823352" w:rsidR="0039362A" w:rsidRPr="00AD7333" w:rsidRDefault="0039362A" w:rsidP="00477AC2">
            <w:pPr>
              <w:pStyle w:val="ListParagraph"/>
              <w:numPr>
                <w:ilvl w:val="0"/>
                <w:numId w:val="5"/>
              </w:numPr>
              <w:ind w:left="395" w:hanging="425"/>
              <w:jc w:val="both"/>
              <w:rPr>
                <w:rFonts w:cstheme="minorHAnsi"/>
                <w:sz w:val="22"/>
                <w:szCs w:val="22"/>
              </w:rPr>
            </w:pPr>
            <w:r w:rsidRPr="00AD7333">
              <w:rPr>
                <w:rFonts w:cstheme="minorHAnsi"/>
                <w:sz w:val="22"/>
                <w:szCs w:val="22"/>
              </w:rPr>
              <w:t xml:space="preserve">Clarity was sought from a member in relation to the </w:t>
            </w:r>
            <w:r w:rsidR="00743088" w:rsidRPr="00AD7333">
              <w:rPr>
                <w:rFonts w:cstheme="minorHAnsi"/>
                <w:sz w:val="22"/>
                <w:szCs w:val="22"/>
              </w:rPr>
              <w:t>non-disposed</w:t>
            </w:r>
            <w:r w:rsidR="00D96B20" w:rsidRPr="00AD7333">
              <w:rPr>
                <w:rFonts w:cstheme="minorHAnsi"/>
                <w:sz w:val="22"/>
                <w:szCs w:val="22"/>
              </w:rPr>
              <w:t xml:space="preserve"> land and buildings and whether the funding of future developments was dependent upon their disposal.</w:t>
            </w:r>
          </w:p>
          <w:p w14:paraId="2C80AF3A" w14:textId="197761DC" w:rsidR="00D96B20" w:rsidRPr="00AD7333" w:rsidRDefault="00D96B20" w:rsidP="00AD7333">
            <w:pPr>
              <w:jc w:val="both"/>
              <w:rPr>
                <w:rFonts w:cstheme="minorHAnsi"/>
                <w:sz w:val="22"/>
                <w:szCs w:val="22"/>
              </w:rPr>
            </w:pPr>
          </w:p>
          <w:p w14:paraId="555F87F2" w14:textId="77777777" w:rsidR="00D96B20" w:rsidRPr="00AD7333" w:rsidRDefault="00D96B20" w:rsidP="00AD7333">
            <w:pPr>
              <w:jc w:val="both"/>
              <w:rPr>
                <w:rFonts w:cstheme="minorHAnsi"/>
                <w:sz w:val="22"/>
                <w:szCs w:val="22"/>
              </w:rPr>
            </w:pPr>
            <w:r w:rsidRPr="00AD7333">
              <w:rPr>
                <w:rFonts w:cstheme="minorHAnsi"/>
                <w:sz w:val="22"/>
                <w:szCs w:val="22"/>
              </w:rPr>
              <w:lastRenderedPageBreak/>
              <w:t>The VPCSP confirmed that their disposal or otherwise would not impact upon the progression of the planned future developments.</w:t>
            </w:r>
          </w:p>
          <w:p w14:paraId="10E0E46C" w14:textId="77777777" w:rsidR="00D96B20" w:rsidRPr="00AD7333" w:rsidRDefault="00D96B20" w:rsidP="00AD7333">
            <w:pPr>
              <w:jc w:val="both"/>
              <w:rPr>
                <w:rFonts w:cstheme="minorHAnsi"/>
                <w:sz w:val="22"/>
                <w:szCs w:val="22"/>
              </w:rPr>
            </w:pPr>
          </w:p>
          <w:p w14:paraId="13F1FB82" w14:textId="6FA77E8B" w:rsidR="00D96B20" w:rsidRPr="00AD7333" w:rsidRDefault="00D96B20" w:rsidP="00AD7333">
            <w:pPr>
              <w:jc w:val="both"/>
              <w:rPr>
                <w:rFonts w:cstheme="minorHAnsi"/>
                <w:sz w:val="22"/>
                <w:szCs w:val="22"/>
              </w:rPr>
            </w:pPr>
            <w:r w:rsidRPr="00AD7333">
              <w:rPr>
                <w:rFonts w:cstheme="minorHAnsi"/>
                <w:b/>
                <w:bCs/>
                <w:sz w:val="22"/>
                <w:szCs w:val="22"/>
              </w:rPr>
              <w:t>There were no further questions or issues raised by members and following due consideration it was resolved that the accommodation update report be received and noted.</w:t>
            </w:r>
            <w:r w:rsidRPr="00AD7333">
              <w:rPr>
                <w:rFonts w:cstheme="minorHAnsi"/>
                <w:sz w:val="22"/>
                <w:szCs w:val="22"/>
              </w:rPr>
              <w:t xml:space="preserve"> </w:t>
            </w:r>
          </w:p>
          <w:p w14:paraId="130E6F82" w14:textId="135DE171" w:rsidR="002F1537" w:rsidRPr="00AD7333" w:rsidRDefault="002F1537" w:rsidP="00AD7333">
            <w:pPr>
              <w:jc w:val="both"/>
              <w:rPr>
                <w:rFonts w:cstheme="minorHAnsi"/>
                <w:sz w:val="22"/>
                <w:szCs w:val="22"/>
              </w:rPr>
            </w:pPr>
          </w:p>
        </w:tc>
      </w:tr>
      <w:tr w:rsidR="0020685E" w:rsidRPr="00AD7333" w14:paraId="042189A7" w14:textId="77777777" w:rsidTr="00AD7333">
        <w:tc>
          <w:tcPr>
            <w:tcW w:w="767" w:type="pct"/>
          </w:tcPr>
          <w:p w14:paraId="0B3E64A5" w14:textId="1E5F825B" w:rsidR="0020685E" w:rsidRPr="00AD7333" w:rsidRDefault="002F1537" w:rsidP="00AD7333">
            <w:pPr>
              <w:jc w:val="both"/>
              <w:rPr>
                <w:rFonts w:cstheme="minorHAnsi"/>
                <w:b/>
                <w:sz w:val="22"/>
                <w:szCs w:val="22"/>
              </w:rPr>
            </w:pPr>
            <w:r w:rsidRPr="00AD7333">
              <w:rPr>
                <w:rFonts w:cstheme="minorHAnsi"/>
                <w:b/>
                <w:sz w:val="22"/>
                <w:szCs w:val="22"/>
              </w:rPr>
              <w:lastRenderedPageBreak/>
              <w:t>RES/11/22</w:t>
            </w:r>
          </w:p>
        </w:tc>
        <w:tc>
          <w:tcPr>
            <w:tcW w:w="4233" w:type="pct"/>
          </w:tcPr>
          <w:p w14:paraId="7451C429" w14:textId="77777777" w:rsidR="00455921" w:rsidRPr="00AD7333" w:rsidRDefault="002F1537" w:rsidP="00AD7333">
            <w:pPr>
              <w:jc w:val="both"/>
              <w:rPr>
                <w:rFonts w:cstheme="minorHAnsi"/>
                <w:bCs/>
                <w:sz w:val="22"/>
                <w:szCs w:val="22"/>
              </w:rPr>
            </w:pPr>
            <w:r w:rsidRPr="00AD7333">
              <w:rPr>
                <w:rFonts w:cstheme="minorHAnsi"/>
                <w:b/>
                <w:sz w:val="22"/>
                <w:szCs w:val="22"/>
              </w:rPr>
              <w:t>Management Accounts for the Period Ending 31 January 2022</w:t>
            </w:r>
          </w:p>
          <w:p w14:paraId="35A94E6B" w14:textId="5CCCE206" w:rsidR="002F1537" w:rsidRPr="00AD7333" w:rsidRDefault="002F1537" w:rsidP="00AD7333">
            <w:pPr>
              <w:jc w:val="both"/>
              <w:rPr>
                <w:rFonts w:cstheme="minorHAnsi"/>
                <w:bCs/>
                <w:sz w:val="22"/>
                <w:szCs w:val="22"/>
              </w:rPr>
            </w:pPr>
          </w:p>
          <w:p w14:paraId="3B07D513" w14:textId="571FDB29" w:rsidR="001771A7" w:rsidRPr="00AD7333" w:rsidRDefault="00EB3705" w:rsidP="00AD7333">
            <w:pPr>
              <w:jc w:val="both"/>
              <w:rPr>
                <w:rFonts w:cstheme="minorHAnsi"/>
                <w:bCs/>
                <w:sz w:val="22"/>
                <w:szCs w:val="22"/>
              </w:rPr>
            </w:pPr>
            <w:r w:rsidRPr="00AD7333">
              <w:rPr>
                <w:rFonts w:cstheme="minorHAnsi"/>
                <w:bCs/>
                <w:sz w:val="22"/>
                <w:szCs w:val="22"/>
              </w:rPr>
              <w:t>The DF referred members to the previously circulated report and the management accounts for the period to 31 January 2022</w:t>
            </w:r>
            <w:r w:rsidR="0030713E" w:rsidRPr="00AD7333">
              <w:rPr>
                <w:rFonts w:cstheme="minorHAnsi"/>
                <w:bCs/>
                <w:sz w:val="22"/>
                <w:szCs w:val="22"/>
              </w:rPr>
              <w:t>.</w:t>
            </w:r>
          </w:p>
          <w:p w14:paraId="7C27A08A" w14:textId="1746B683" w:rsidR="000E1860" w:rsidRPr="00AD7333" w:rsidRDefault="000E1860" w:rsidP="00AD7333">
            <w:pPr>
              <w:jc w:val="both"/>
              <w:rPr>
                <w:rFonts w:cstheme="minorHAnsi"/>
                <w:bCs/>
                <w:sz w:val="22"/>
                <w:szCs w:val="22"/>
              </w:rPr>
            </w:pPr>
          </w:p>
          <w:p w14:paraId="0ED4741E" w14:textId="60A56C48" w:rsidR="000E1860" w:rsidRPr="00AD7333" w:rsidRDefault="000E1860" w:rsidP="00AD7333">
            <w:pPr>
              <w:jc w:val="both"/>
              <w:rPr>
                <w:rFonts w:cstheme="minorHAnsi"/>
                <w:bCs/>
                <w:sz w:val="22"/>
                <w:szCs w:val="22"/>
              </w:rPr>
            </w:pPr>
            <w:r w:rsidRPr="00AD7333">
              <w:rPr>
                <w:rFonts w:cstheme="minorHAnsi"/>
                <w:bCs/>
                <w:sz w:val="22"/>
                <w:szCs w:val="22"/>
              </w:rPr>
              <w:t>The DF reported on the following key issues:</w:t>
            </w:r>
          </w:p>
          <w:p w14:paraId="4537E17E" w14:textId="71142200" w:rsidR="000E1860" w:rsidRPr="00AD7333" w:rsidRDefault="000E1860" w:rsidP="00AD7333">
            <w:pPr>
              <w:jc w:val="both"/>
              <w:rPr>
                <w:rFonts w:cstheme="minorHAnsi"/>
                <w:bCs/>
                <w:sz w:val="22"/>
                <w:szCs w:val="22"/>
              </w:rPr>
            </w:pPr>
          </w:p>
          <w:p w14:paraId="7DE71222" w14:textId="5003AAD5"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the Financial KPI performance</w:t>
            </w:r>
          </w:p>
          <w:p w14:paraId="1D03DD0E"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the key headlines</w:t>
            </w:r>
          </w:p>
          <w:p w14:paraId="402611CB"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financial health</w:t>
            </w:r>
          </w:p>
          <w:p w14:paraId="48DC16C6"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income and expenditure</w:t>
            </w:r>
          </w:p>
          <w:p w14:paraId="329F05D9"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the balance sheet</w:t>
            </w:r>
          </w:p>
          <w:p w14:paraId="0E9C52E6"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cash including the cash flow statement and detailed cashflows</w:t>
            </w:r>
          </w:p>
          <w:p w14:paraId="4905A2A9"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loans</w:t>
            </w:r>
          </w:p>
          <w:p w14:paraId="2BA36C1E" w14:textId="04F4B596"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other KPIs</w:t>
            </w:r>
          </w:p>
          <w:p w14:paraId="1C717803"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capital</w:t>
            </w:r>
          </w:p>
          <w:p w14:paraId="0C6A5863" w14:textId="77777777"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sub-contracted activity</w:t>
            </w:r>
          </w:p>
          <w:p w14:paraId="2C69502A" w14:textId="705DEC02" w:rsidR="000E1860" w:rsidRPr="00AD7333" w:rsidRDefault="000E1860" w:rsidP="00477AC2">
            <w:pPr>
              <w:pStyle w:val="ListParagraph"/>
              <w:numPr>
                <w:ilvl w:val="0"/>
                <w:numId w:val="9"/>
              </w:numPr>
              <w:ind w:left="395" w:hanging="395"/>
              <w:jc w:val="both"/>
              <w:rPr>
                <w:rFonts w:cstheme="minorHAnsi"/>
                <w:bCs/>
                <w:sz w:val="22"/>
                <w:szCs w:val="22"/>
              </w:rPr>
            </w:pPr>
            <w:r w:rsidRPr="00AD7333">
              <w:rPr>
                <w:rFonts w:cstheme="minorHAnsi"/>
                <w:bCs/>
                <w:sz w:val="22"/>
                <w:szCs w:val="22"/>
              </w:rPr>
              <w:t xml:space="preserve">known changes to future years budgets. </w:t>
            </w:r>
          </w:p>
          <w:p w14:paraId="26D3F4E7" w14:textId="19B2D44F" w:rsidR="000E1860" w:rsidRPr="00AD7333" w:rsidRDefault="000E1860" w:rsidP="00AD7333">
            <w:pPr>
              <w:jc w:val="both"/>
              <w:rPr>
                <w:rFonts w:cstheme="minorHAnsi"/>
                <w:bCs/>
                <w:sz w:val="22"/>
                <w:szCs w:val="22"/>
              </w:rPr>
            </w:pPr>
          </w:p>
          <w:p w14:paraId="7C879AC2" w14:textId="670649F3" w:rsidR="00E87BB5" w:rsidRPr="00AD7333" w:rsidRDefault="00E87BB5" w:rsidP="00AD7333">
            <w:pPr>
              <w:jc w:val="both"/>
              <w:rPr>
                <w:rFonts w:cstheme="minorHAnsi"/>
                <w:bCs/>
                <w:sz w:val="22"/>
                <w:szCs w:val="22"/>
              </w:rPr>
            </w:pPr>
            <w:r w:rsidRPr="00AD7333">
              <w:rPr>
                <w:rFonts w:cstheme="minorHAnsi"/>
                <w:bCs/>
                <w:sz w:val="22"/>
                <w:szCs w:val="22"/>
              </w:rPr>
              <w:t>The following aspects were highlighted:</w:t>
            </w:r>
          </w:p>
          <w:p w14:paraId="774FE6EF" w14:textId="4F5B6219" w:rsidR="00E87BB5" w:rsidRPr="00AD7333" w:rsidRDefault="00E87BB5" w:rsidP="00AD7333">
            <w:pPr>
              <w:jc w:val="both"/>
              <w:rPr>
                <w:rFonts w:cstheme="minorHAnsi"/>
                <w:bCs/>
                <w:sz w:val="22"/>
                <w:szCs w:val="22"/>
              </w:rPr>
            </w:pPr>
          </w:p>
          <w:p w14:paraId="18560182" w14:textId="623DEBD5" w:rsidR="00E87BB5" w:rsidRPr="00AD7333" w:rsidRDefault="00E87BB5" w:rsidP="00477AC2">
            <w:pPr>
              <w:pStyle w:val="ListParagraph"/>
              <w:numPr>
                <w:ilvl w:val="0"/>
                <w:numId w:val="10"/>
              </w:numPr>
              <w:ind w:left="395" w:hanging="395"/>
              <w:jc w:val="both"/>
              <w:rPr>
                <w:rFonts w:cstheme="minorHAnsi"/>
                <w:bCs/>
                <w:sz w:val="22"/>
                <w:szCs w:val="22"/>
              </w:rPr>
            </w:pPr>
            <w:r w:rsidRPr="00AD7333">
              <w:rPr>
                <w:rFonts w:cstheme="minorHAnsi"/>
                <w:bCs/>
                <w:sz w:val="22"/>
                <w:szCs w:val="22"/>
              </w:rPr>
              <w:t>receipt from the ESFA of in-year 16-19 growth funding of £1,032k, reflecting funding for 5,406 learners compared to the initial allocation of 5,196</w:t>
            </w:r>
            <w:r w:rsidR="00F075DA" w:rsidRPr="00AD7333">
              <w:rPr>
                <w:rFonts w:cstheme="minorHAnsi"/>
                <w:bCs/>
                <w:sz w:val="22"/>
                <w:szCs w:val="22"/>
              </w:rPr>
              <w:t>;</w:t>
            </w:r>
          </w:p>
          <w:p w14:paraId="4BCAB4F5" w14:textId="0BC8E82F" w:rsidR="00430AB4" w:rsidRPr="00AD7333" w:rsidRDefault="00E87BB5" w:rsidP="00477AC2">
            <w:pPr>
              <w:pStyle w:val="ListParagraph"/>
              <w:numPr>
                <w:ilvl w:val="0"/>
                <w:numId w:val="10"/>
              </w:numPr>
              <w:ind w:left="395" w:hanging="395"/>
              <w:jc w:val="both"/>
              <w:rPr>
                <w:rFonts w:cstheme="minorHAnsi"/>
                <w:bCs/>
                <w:sz w:val="22"/>
                <w:szCs w:val="22"/>
              </w:rPr>
            </w:pPr>
            <w:r w:rsidRPr="00AD7333">
              <w:rPr>
                <w:rFonts w:cstheme="minorHAnsi"/>
                <w:bCs/>
                <w:sz w:val="22"/>
                <w:szCs w:val="22"/>
              </w:rPr>
              <w:t>the outcome of the business case submissions to both the ESFA and GMCA</w:t>
            </w:r>
            <w:r w:rsidR="00430AB4" w:rsidRPr="00AD7333">
              <w:rPr>
                <w:rFonts w:cstheme="minorHAnsi"/>
                <w:bCs/>
                <w:sz w:val="22"/>
                <w:szCs w:val="22"/>
              </w:rPr>
              <w:t>,</w:t>
            </w:r>
            <w:r w:rsidRPr="00AD7333">
              <w:rPr>
                <w:rFonts w:cstheme="minorHAnsi"/>
                <w:bCs/>
                <w:sz w:val="22"/>
                <w:szCs w:val="22"/>
              </w:rPr>
              <w:t xml:space="preserve"> of which the ESFA had permitted the retention of the amount underdelivered and the </w:t>
            </w:r>
            <w:r w:rsidR="00430AB4" w:rsidRPr="00AD7333">
              <w:rPr>
                <w:rFonts w:cstheme="minorHAnsi"/>
                <w:bCs/>
                <w:sz w:val="22"/>
                <w:szCs w:val="22"/>
              </w:rPr>
              <w:t>GMCA were only clawing back £48k of the original allocation of £750k, and which was now reflected in the income and expenditure for the current year</w:t>
            </w:r>
            <w:r w:rsidR="00F075DA" w:rsidRPr="00AD7333">
              <w:rPr>
                <w:rFonts w:cstheme="minorHAnsi"/>
                <w:bCs/>
                <w:sz w:val="22"/>
                <w:szCs w:val="22"/>
              </w:rPr>
              <w:t>; and</w:t>
            </w:r>
          </w:p>
          <w:p w14:paraId="7FCF3BE9" w14:textId="462A123F" w:rsidR="00E87BB5" w:rsidRPr="00AD7333" w:rsidRDefault="00430AB4" w:rsidP="00477AC2">
            <w:pPr>
              <w:pStyle w:val="ListParagraph"/>
              <w:numPr>
                <w:ilvl w:val="0"/>
                <w:numId w:val="10"/>
              </w:numPr>
              <w:ind w:left="395" w:hanging="395"/>
              <w:jc w:val="both"/>
              <w:rPr>
                <w:rFonts w:cstheme="minorHAnsi"/>
                <w:bCs/>
                <w:sz w:val="22"/>
                <w:szCs w:val="22"/>
              </w:rPr>
            </w:pPr>
            <w:r w:rsidRPr="00AD7333">
              <w:rPr>
                <w:rFonts w:cstheme="minorHAnsi"/>
                <w:bCs/>
                <w:sz w:val="22"/>
                <w:szCs w:val="22"/>
              </w:rPr>
              <w:t>the resolution of the potential option to tax</w:t>
            </w:r>
            <w:r w:rsidR="002B444D" w:rsidRPr="00AD7333">
              <w:rPr>
                <w:rFonts w:cstheme="minorHAnsi"/>
                <w:bCs/>
                <w:sz w:val="22"/>
                <w:szCs w:val="22"/>
              </w:rPr>
              <w:t xml:space="preserve"> </w:t>
            </w:r>
            <w:r w:rsidR="00F075DA" w:rsidRPr="00AD7333">
              <w:rPr>
                <w:rFonts w:cstheme="minorHAnsi"/>
                <w:bCs/>
                <w:sz w:val="22"/>
                <w:szCs w:val="22"/>
              </w:rPr>
              <w:t xml:space="preserve">arising from which </w:t>
            </w:r>
            <w:r w:rsidR="002B444D" w:rsidRPr="00AD7333">
              <w:rPr>
                <w:rFonts w:cstheme="minorHAnsi"/>
                <w:bCs/>
                <w:sz w:val="22"/>
                <w:szCs w:val="22"/>
              </w:rPr>
              <w:t>t</w:t>
            </w:r>
            <w:r w:rsidRPr="00AD7333">
              <w:rPr>
                <w:rFonts w:cstheme="minorHAnsi"/>
                <w:bCs/>
                <w:sz w:val="22"/>
                <w:szCs w:val="22"/>
              </w:rPr>
              <w:t xml:space="preserve">here </w:t>
            </w:r>
            <w:r w:rsidR="00F075DA" w:rsidRPr="00AD7333">
              <w:rPr>
                <w:rFonts w:cstheme="minorHAnsi"/>
                <w:bCs/>
                <w:sz w:val="22"/>
                <w:szCs w:val="22"/>
              </w:rPr>
              <w:t>was</w:t>
            </w:r>
            <w:r w:rsidR="002B444D" w:rsidRPr="00AD7333">
              <w:rPr>
                <w:rFonts w:cstheme="minorHAnsi"/>
                <w:bCs/>
                <w:sz w:val="22"/>
                <w:szCs w:val="22"/>
              </w:rPr>
              <w:t xml:space="preserve"> </w:t>
            </w:r>
            <w:r w:rsidRPr="00AD7333">
              <w:rPr>
                <w:rFonts w:cstheme="minorHAnsi"/>
                <w:bCs/>
                <w:sz w:val="22"/>
                <w:szCs w:val="22"/>
              </w:rPr>
              <w:t>no liability to pay t</w:t>
            </w:r>
            <w:r w:rsidR="002B444D" w:rsidRPr="00AD7333">
              <w:rPr>
                <w:rFonts w:cstheme="minorHAnsi"/>
                <w:bCs/>
                <w:sz w:val="22"/>
                <w:szCs w:val="22"/>
              </w:rPr>
              <w:t>he</w:t>
            </w:r>
            <w:r w:rsidRPr="00AD7333">
              <w:rPr>
                <w:rFonts w:cstheme="minorHAnsi"/>
                <w:bCs/>
                <w:sz w:val="22"/>
                <w:szCs w:val="22"/>
              </w:rPr>
              <w:t xml:space="preserve"> HMRC </w:t>
            </w:r>
            <w:r w:rsidR="002B444D" w:rsidRPr="00AD7333">
              <w:rPr>
                <w:rFonts w:cstheme="minorHAnsi"/>
                <w:bCs/>
                <w:sz w:val="22"/>
                <w:szCs w:val="22"/>
              </w:rPr>
              <w:t xml:space="preserve">and </w:t>
            </w:r>
            <w:r w:rsidR="00AE4CE3" w:rsidRPr="00AD7333">
              <w:rPr>
                <w:rFonts w:cstheme="minorHAnsi"/>
                <w:bCs/>
                <w:sz w:val="22"/>
                <w:szCs w:val="22"/>
              </w:rPr>
              <w:t xml:space="preserve">for </w:t>
            </w:r>
            <w:r w:rsidR="002B444D" w:rsidRPr="00AD7333">
              <w:rPr>
                <w:rFonts w:cstheme="minorHAnsi"/>
                <w:bCs/>
                <w:sz w:val="22"/>
                <w:szCs w:val="22"/>
              </w:rPr>
              <w:t>which was a further provision could be released.</w:t>
            </w:r>
            <w:r w:rsidR="00E87BB5" w:rsidRPr="00AD7333">
              <w:rPr>
                <w:rFonts w:cstheme="minorHAnsi"/>
                <w:bCs/>
                <w:sz w:val="22"/>
                <w:szCs w:val="22"/>
              </w:rPr>
              <w:t xml:space="preserve"> </w:t>
            </w:r>
          </w:p>
          <w:p w14:paraId="0302E4FE" w14:textId="77777777" w:rsidR="00E87BB5" w:rsidRPr="00AD7333" w:rsidRDefault="00E87BB5" w:rsidP="00AD7333">
            <w:pPr>
              <w:jc w:val="both"/>
              <w:rPr>
                <w:rFonts w:cstheme="minorHAnsi"/>
                <w:bCs/>
                <w:sz w:val="22"/>
                <w:szCs w:val="22"/>
              </w:rPr>
            </w:pPr>
          </w:p>
          <w:p w14:paraId="0A029A44" w14:textId="64EFB00A" w:rsidR="000E1860" w:rsidRPr="00AD7333" w:rsidRDefault="000E1860" w:rsidP="00AD7333">
            <w:pPr>
              <w:jc w:val="both"/>
              <w:rPr>
                <w:rFonts w:cstheme="minorHAnsi"/>
                <w:bCs/>
                <w:sz w:val="22"/>
                <w:szCs w:val="22"/>
              </w:rPr>
            </w:pPr>
            <w:r w:rsidRPr="00AD7333">
              <w:rPr>
                <w:rFonts w:cstheme="minorHAnsi"/>
                <w:bCs/>
                <w:sz w:val="22"/>
                <w:szCs w:val="22"/>
              </w:rPr>
              <w:t xml:space="preserve">The DF made a short presentation </w:t>
            </w:r>
            <w:r w:rsidR="002B444D" w:rsidRPr="00AD7333">
              <w:rPr>
                <w:rFonts w:cstheme="minorHAnsi"/>
                <w:bCs/>
                <w:sz w:val="22"/>
                <w:szCs w:val="22"/>
              </w:rPr>
              <w:t xml:space="preserve">in respect of the Group’s financial performance and </w:t>
            </w:r>
            <w:r w:rsidRPr="00AD7333">
              <w:rPr>
                <w:rFonts w:cstheme="minorHAnsi"/>
                <w:bCs/>
                <w:sz w:val="22"/>
                <w:szCs w:val="22"/>
              </w:rPr>
              <w:t xml:space="preserve">within which </w:t>
            </w:r>
            <w:r w:rsidR="002B444D" w:rsidRPr="00AD7333">
              <w:rPr>
                <w:rFonts w:cstheme="minorHAnsi"/>
                <w:bCs/>
                <w:sz w:val="22"/>
                <w:szCs w:val="22"/>
              </w:rPr>
              <w:t xml:space="preserve">commentary was </w:t>
            </w:r>
            <w:r w:rsidR="0075312E" w:rsidRPr="00AD7333">
              <w:rPr>
                <w:rFonts w:cstheme="minorHAnsi"/>
                <w:bCs/>
                <w:sz w:val="22"/>
                <w:szCs w:val="22"/>
              </w:rPr>
              <w:t>provided in relation to the following</w:t>
            </w:r>
            <w:r w:rsidRPr="00AD7333">
              <w:rPr>
                <w:rFonts w:cstheme="minorHAnsi"/>
                <w:bCs/>
                <w:sz w:val="22"/>
                <w:szCs w:val="22"/>
              </w:rPr>
              <w:t>:</w:t>
            </w:r>
          </w:p>
          <w:p w14:paraId="4F881F04" w14:textId="68E68AE7" w:rsidR="001771A7" w:rsidRPr="00AD7333" w:rsidRDefault="001771A7" w:rsidP="00AD7333">
            <w:pPr>
              <w:jc w:val="both"/>
              <w:rPr>
                <w:rFonts w:cstheme="minorHAnsi"/>
                <w:bCs/>
                <w:sz w:val="22"/>
                <w:szCs w:val="22"/>
              </w:rPr>
            </w:pPr>
          </w:p>
          <w:p w14:paraId="6F6BA5F8" w14:textId="55FA1075"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Strategic KPIs</w:t>
            </w:r>
            <w:r w:rsidR="0075312E" w:rsidRPr="00AD7333">
              <w:rPr>
                <w:rFonts w:cstheme="minorHAnsi"/>
                <w:bCs/>
                <w:sz w:val="22"/>
                <w:szCs w:val="22"/>
              </w:rPr>
              <w:t xml:space="preserve"> and confirmation that at period 6 the Group was ahead of the targets set but recogni</w:t>
            </w:r>
            <w:r w:rsidR="00AE4CE3" w:rsidRPr="00AD7333">
              <w:rPr>
                <w:rFonts w:cstheme="minorHAnsi"/>
                <w:bCs/>
                <w:sz w:val="22"/>
                <w:szCs w:val="22"/>
              </w:rPr>
              <w:t>s</w:t>
            </w:r>
            <w:r w:rsidR="0075312E" w:rsidRPr="00AD7333">
              <w:rPr>
                <w:rFonts w:cstheme="minorHAnsi"/>
                <w:bCs/>
                <w:sz w:val="22"/>
                <w:szCs w:val="22"/>
              </w:rPr>
              <w:t xml:space="preserve">ing that moving forward there was anticipation of </w:t>
            </w:r>
            <w:r w:rsidR="003207D5" w:rsidRPr="00AD7333">
              <w:rPr>
                <w:rFonts w:cstheme="minorHAnsi"/>
                <w:bCs/>
                <w:sz w:val="22"/>
                <w:szCs w:val="22"/>
              </w:rPr>
              <w:t>a pay award and also risks associated with both staff sickness and staff recruitment.</w:t>
            </w:r>
          </w:p>
          <w:p w14:paraId="6C504388" w14:textId="5B8C8A20"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Year to date position</w:t>
            </w:r>
            <w:r w:rsidR="003207D5" w:rsidRPr="00AD7333">
              <w:rPr>
                <w:rFonts w:cstheme="minorHAnsi"/>
                <w:bCs/>
                <w:sz w:val="22"/>
                <w:szCs w:val="22"/>
              </w:rPr>
              <w:t xml:space="preserve"> which presented a positive variance in pay costs which was expected to reverse as staff recruitment took place; income was significantly showing a positive variance; and non-pay costs were indicating good savings.  </w:t>
            </w:r>
          </w:p>
          <w:p w14:paraId="73A85287" w14:textId="3D7362FA"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Forecast headlines</w:t>
            </w:r>
            <w:r w:rsidR="003207D5" w:rsidRPr="00AD7333">
              <w:rPr>
                <w:rFonts w:cstheme="minorHAnsi"/>
                <w:bCs/>
                <w:sz w:val="22"/>
                <w:szCs w:val="22"/>
              </w:rPr>
              <w:t xml:space="preserve"> </w:t>
            </w:r>
            <w:r w:rsidR="00D00CD1" w:rsidRPr="00AD7333">
              <w:rPr>
                <w:rFonts w:cstheme="minorHAnsi"/>
                <w:bCs/>
                <w:sz w:val="22"/>
                <w:szCs w:val="22"/>
              </w:rPr>
              <w:t xml:space="preserve">which </w:t>
            </w:r>
            <w:r w:rsidR="003207D5" w:rsidRPr="00AD7333">
              <w:rPr>
                <w:rFonts w:cstheme="minorHAnsi"/>
                <w:bCs/>
                <w:sz w:val="22"/>
                <w:szCs w:val="22"/>
              </w:rPr>
              <w:t xml:space="preserve">reflected the changes as previously outlined </w:t>
            </w:r>
            <w:r w:rsidR="00D00CD1" w:rsidRPr="00AD7333">
              <w:rPr>
                <w:rFonts w:cstheme="minorHAnsi"/>
                <w:bCs/>
                <w:sz w:val="22"/>
                <w:szCs w:val="22"/>
              </w:rPr>
              <w:t xml:space="preserve">and </w:t>
            </w:r>
            <w:r w:rsidR="003207D5" w:rsidRPr="00AD7333">
              <w:rPr>
                <w:rFonts w:cstheme="minorHAnsi"/>
                <w:bCs/>
                <w:sz w:val="22"/>
                <w:szCs w:val="22"/>
              </w:rPr>
              <w:t xml:space="preserve">with the mid case scenario illustrating </w:t>
            </w:r>
            <w:r w:rsidR="00AE35FD" w:rsidRPr="00AD7333">
              <w:rPr>
                <w:rFonts w:cstheme="minorHAnsi"/>
                <w:bCs/>
                <w:sz w:val="22"/>
                <w:szCs w:val="22"/>
              </w:rPr>
              <w:t xml:space="preserve">positive variances in respect of income (£281k); pay </w:t>
            </w:r>
            <w:r w:rsidR="00AE35FD" w:rsidRPr="00AD7333">
              <w:rPr>
                <w:rFonts w:cstheme="minorHAnsi"/>
                <w:bCs/>
                <w:sz w:val="22"/>
                <w:szCs w:val="22"/>
              </w:rPr>
              <w:lastRenderedPageBreak/>
              <w:t>costs (£99k); non-pay costs (£121k); Education specific EBITDA of £510k; and other items (807k); a total surplus of £1,308k</w:t>
            </w:r>
            <w:r w:rsidR="00B17491" w:rsidRPr="00AD7333">
              <w:rPr>
                <w:rFonts w:cstheme="minorHAnsi"/>
                <w:bCs/>
                <w:sz w:val="22"/>
                <w:szCs w:val="22"/>
              </w:rPr>
              <w:t>.</w:t>
            </w:r>
          </w:p>
          <w:p w14:paraId="02DDB0BF" w14:textId="098C9CF8"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Income and Expenditure</w:t>
            </w:r>
            <w:r w:rsidRPr="00AD7333">
              <w:rPr>
                <w:rFonts w:cstheme="minorHAnsi"/>
                <w:bCs/>
                <w:sz w:val="22"/>
                <w:szCs w:val="22"/>
              </w:rPr>
              <w:t xml:space="preserve"> </w:t>
            </w:r>
            <w:r w:rsidR="00AE35FD" w:rsidRPr="00AD7333">
              <w:rPr>
                <w:rFonts w:cstheme="minorHAnsi"/>
                <w:bCs/>
                <w:sz w:val="22"/>
                <w:szCs w:val="22"/>
              </w:rPr>
              <w:t>and a</w:t>
            </w:r>
            <w:r w:rsidRPr="00AD7333">
              <w:rPr>
                <w:rFonts w:cstheme="minorHAnsi"/>
                <w:bCs/>
                <w:sz w:val="22"/>
                <w:szCs w:val="22"/>
              </w:rPr>
              <w:t xml:space="preserve"> </w:t>
            </w:r>
            <w:r w:rsidRPr="00AD7333">
              <w:rPr>
                <w:rFonts w:cstheme="minorHAnsi"/>
                <w:b/>
                <w:sz w:val="22"/>
                <w:szCs w:val="22"/>
              </w:rPr>
              <w:t>forecast movement month on month summary</w:t>
            </w:r>
            <w:r w:rsidR="00AE35FD" w:rsidRPr="00AD7333">
              <w:rPr>
                <w:rFonts w:cstheme="minorHAnsi"/>
                <w:bCs/>
                <w:sz w:val="22"/>
                <w:szCs w:val="22"/>
              </w:rPr>
              <w:t xml:space="preserve"> </w:t>
            </w:r>
            <w:r w:rsidR="00995EE0" w:rsidRPr="00AD7333">
              <w:rPr>
                <w:rFonts w:cstheme="minorHAnsi"/>
                <w:bCs/>
                <w:sz w:val="22"/>
                <w:szCs w:val="22"/>
              </w:rPr>
              <w:t xml:space="preserve">which illustrates and </w:t>
            </w:r>
            <w:r w:rsidR="00AE35FD" w:rsidRPr="00AD7333">
              <w:rPr>
                <w:rFonts w:cstheme="minorHAnsi"/>
                <w:bCs/>
                <w:sz w:val="22"/>
                <w:szCs w:val="22"/>
              </w:rPr>
              <w:t>supports the understanding of the areas of change</w:t>
            </w:r>
            <w:r w:rsidR="00B17491" w:rsidRPr="00AD7333">
              <w:rPr>
                <w:rFonts w:cstheme="minorHAnsi"/>
                <w:bCs/>
                <w:sz w:val="22"/>
                <w:szCs w:val="22"/>
              </w:rPr>
              <w:t>.</w:t>
            </w:r>
            <w:r w:rsidR="00AE35FD" w:rsidRPr="00AD7333">
              <w:rPr>
                <w:rFonts w:cstheme="minorHAnsi"/>
                <w:bCs/>
                <w:sz w:val="22"/>
                <w:szCs w:val="22"/>
              </w:rPr>
              <w:t xml:space="preserve"> </w:t>
            </w:r>
          </w:p>
          <w:p w14:paraId="51500A4A" w14:textId="755632DD"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Income and Expenditure</w:t>
            </w:r>
            <w:r w:rsidRPr="00AD7333">
              <w:rPr>
                <w:rFonts w:cstheme="minorHAnsi"/>
                <w:bCs/>
                <w:sz w:val="22"/>
                <w:szCs w:val="22"/>
              </w:rPr>
              <w:t xml:space="preserve"> </w:t>
            </w:r>
            <w:r w:rsidR="00995EE0" w:rsidRPr="00AD7333">
              <w:rPr>
                <w:rFonts w:cstheme="minorHAnsi"/>
                <w:bCs/>
                <w:sz w:val="22"/>
                <w:szCs w:val="22"/>
              </w:rPr>
              <w:t>and the</w:t>
            </w:r>
            <w:r w:rsidRPr="00AD7333">
              <w:rPr>
                <w:rFonts w:cstheme="minorHAnsi"/>
                <w:bCs/>
                <w:sz w:val="22"/>
                <w:szCs w:val="22"/>
              </w:rPr>
              <w:t xml:space="preserve"> </w:t>
            </w:r>
            <w:r w:rsidRPr="00AD7333">
              <w:rPr>
                <w:rFonts w:cstheme="minorHAnsi"/>
                <w:b/>
                <w:sz w:val="22"/>
                <w:szCs w:val="22"/>
              </w:rPr>
              <w:t>month</w:t>
            </w:r>
            <w:r w:rsidR="00C725BC" w:rsidRPr="00AD7333">
              <w:rPr>
                <w:rFonts w:cstheme="minorHAnsi"/>
                <w:b/>
                <w:sz w:val="22"/>
                <w:szCs w:val="22"/>
              </w:rPr>
              <w:t>-</w:t>
            </w:r>
            <w:r w:rsidRPr="00AD7333">
              <w:rPr>
                <w:rFonts w:cstheme="minorHAnsi"/>
                <w:b/>
                <w:sz w:val="22"/>
                <w:szCs w:val="22"/>
              </w:rPr>
              <w:t>on</w:t>
            </w:r>
            <w:r w:rsidR="00C725BC" w:rsidRPr="00AD7333">
              <w:rPr>
                <w:rFonts w:cstheme="minorHAnsi"/>
                <w:b/>
                <w:sz w:val="22"/>
                <w:szCs w:val="22"/>
              </w:rPr>
              <w:t>-</w:t>
            </w:r>
            <w:r w:rsidRPr="00AD7333">
              <w:rPr>
                <w:rFonts w:cstheme="minorHAnsi"/>
                <w:b/>
                <w:sz w:val="22"/>
                <w:szCs w:val="22"/>
              </w:rPr>
              <w:t>month income forecast</w:t>
            </w:r>
            <w:r w:rsidRPr="00AD7333">
              <w:rPr>
                <w:rFonts w:cstheme="minorHAnsi"/>
                <w:bCs/>
                <w:sz w:val="22"/>
                <w:szCs w:val="22"/>
              </w:rPr>
              <w:t xml:space="preserve"> </w:t>
            </w:r>
            <w:r w:rsidRPr="00AD7333">
              <w:rPr>
                <w:rFonts w:cstheme="minorHAnsi"/>
                <w:b/>
                <w:sz w:val="22"/>
                <w:szCs w:val="22"/>
              </w:rPr>
              <w:t>change</w:t>
            </w:r>
            <w:r w:rsidR="00995EE0" w:rsidRPr="00AD7333">
              <w:rPr>
                <w:rFonts w:cstheme="minorHAnsi"/>
                <w:bCs/>
                <w:sz w:val="22"/>
                <w:szCs w:val="22"/>
              </w:rPr>
              <w:t xml:space="preserve"> detailing an overall movement of £1,256k made up of the in-year growth (of £963k 16-19 growth and </w:t>
            </w:r>
            <w:r w:rsidR="00C725BC" w:rsidRPr="00AD7333">
              <w:rPr>
                <w:rFonts w:cstheme="minorHAnsi"/>
                <w:bCs/>
                <w:sz w:val="22"/>
                <w:szCs w:val="22"/>
              </w:rPr>
              <w:t xml:space="preserve">the </w:t>
            </w:r>
            <w:r w:rsidR="00995EE0" w:rsidRPr="00AD7333">
              <w:rPr>
                <w:rFonts w:cstheme="minorHAnsi"/>
                <w:bCs/>
                <w:sz w:val="22"/>
                <w:szCs w:val="22"/>
              </w:rPr>
              <w:t>£642</w:t>
            </w:r>
            <w:r w:rsidR="00AE4CE3" w:rsidRPr="00AD7333">
              <w:rPr>
                <w:rFonts w:cstheme="minorHAnsi"/>
                <w:bCs/>
                <w:sz w:val="22"/>
                <w:szCs w:val="22"/>
              </w:rPr>
              <w:t>k</w:t>
            </w:r>
            <w:r w:rsidR="00995EE0" w:rsidRPr="00AD7333">
              <w:rPr>
                <w:rFonts w:cstheme="minorHAnsi"/>
                <w:bCs/>
                <w:sz w:val="22"/>
                <w:szCs w:val="22"/>
              </w:rPr>
              <w:t xml:space="preserve"> AEB benefit less the </w:t>
            </w:r>
            <w:r w:rsidR="00C725BC" w:rsidRPr="00AD7333">
              <w:rPr>
                <w:rFonts w:cstheme="minorHAnsi"/>
                <w:bCs/>
                <w:sz w:val="22"/>
                <w:szCs w:val="22"/>
              </w:rPr>
              <w:t xml:space="preserve">£500k </w:t>
            </w:r>
            <w:r w:rsidR="00995EE0" w:rsidRPr="00AD7333">
              <w:rPr>
                <w:rFonts w:cstheme="minorHAnsi"/>
                <w:bCs/>
                <w:sz w:val="22"/>
                <w:szCs w:val="22"/>
              </w:rPr>
              <w:t xml:space="preserve">risk reserve associated with </w:t>
            </w:r>
            <w:r w:rsidR="00C725BC" w:rsidRPr="00AD7333">
              <w:rPr>
                <w:rFonts w:cstheme="minorHAnsi"/>
                <w:bCs/>
                <w:sz w:val="22"/>
                <w:szCs w:val="22"/>
              </w:rPr>
              <w:t>the AEB position and reporting earlier in the meeting in respect of learner numbers plus net movement of other income lines of £151k)</w:t>
            </w:r>
            <w:r w:rsidR="00B17491" w:rsidRPr="00AD7333">
              <w:rPr>
                <w:rFonts w:cstheme="minorHAnsi"/>
                <w:bCs/>
                <w:sz w:val="22"/>
                <w:szCs w:val="22"/>
              </w:rPr>
              <w:t>.</w:t>
            </w:r>
            <w:r w:rsidR="00C725BC" w:rsidRPr="00AD7333">
              <w:rPr>
                <w:rFonts w:cstheme="minorHAnsi"/>
                <w:bCs/>
                <w:sz w:val="22"/>
                <w:szCs w:val="22"/>
              </w:rPr>
              <w:t xml:space="preserve"> </w:t>
            </w:r>
          </w:p>
          <w:p w14:paraId="6B9CA11F" w14:textId="7DE8A2F2"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Income and Expenditure</w:t>
            </w:r>
            <w:r w:rsidRPr="00AD7333">
              <w:rPr>
                <w:rFonts w:cstheme="minorHAnsi"/>
                <w:bCs/>
                <w:sz w:val="22"/>
                <w:szCs w:val="22"/>
              </w:rPr>
              <w:t xml:space="preserve"> </w:t>
            </w:r>
            <w:r w:rsidR="00C725BC" w:rsidRPr="00AD7333">
              <w:rPr>
                <w:rFonts w:cstheme="minorHAnsi"/>
                <w:bCs/>
                <w:sz w:val="22"/>
                <w:szCs w:val="22"/>
              </w:rPr>
              <w:t xml:space="preserve">and </w:t>
            </w:r>
            <w:r w:rsidRPr="00AD7333">
              <w:rPr>
                <w:rFonts w:cstheme="minorHAnsi"/>
                <w:b/>
                <w:sz w:val="22"/>
                <w:szCs w:val="22"/>
              </w:rPr>
              <w:t>month</w:t>
            </w:r>
            <w:r w:rsidR="00B17491" w:rsidRPr="00AD7333">
              <w:rPr>
                <w:rFonts w:cstheme="minorHAnsi"/>
                <w:b/>
                <w:sz w:val="22"/>
                <w:szCs w:val="22"/>
              </w:rPr>
              <w:t>-</w:t>
            </w:r>
            <w:r w:rsidRPr="00AD7333">
              <w:rPr>
                <w:rFonts w:cstheme="minorHAnsi"/>
                <w:b/>
                <w:sz w:val="22"/>
                <w:szCs w:val="22"/>
              </w:rPr>
              <w:t>on</w:t>
            </w:r>
            <w:r w:rsidR="00B17491" w:rsidRPr="00AD7333">
              <w:rPr>
                <w:rFonts w:cstheme="minorHAnsi"/>
                <w:b/>
                <w:sz w:val="22"/>
                <w:szCs w:val="22"/>
              </w:rPr>
              <w:t>-</w:t>
            </w:r>
            <w:r w:rsidRPr="00AD7333">
              <w:rPr>
                <w:rFonts w:cstheme="minorHAnsi"/>
                <w:b/>
                <w:sz w:val="22"/>
                <w:szCs w:val="22"/>
              </w:rPr>
              <w:t xml:space="preserve">month </w:t>
            </w:r>
            <w:r w:rsidR="00C725BC" w:rsidRPr="00AD7333">
              <w:rPr>
                <w:rFonts w:cstheme="minorHAnsi"/>
                <w:b/>
                <w:sz w:val="22"/>
                <w:szCs w:val="22"/>
              </w:rPr>
              <w:t xml:space="preserve">pay </w:t>
            </w:r>
            <w:r w:rsidRPr="00AD7333">
              <w:rPr>
                <w:rFonts w:cstheme="minorHAnsi"/>
                <w:b/>
                <w:sz w:val="22"/>
                <w:szCs w:val="22"/>
              </w:rPr>
              <w:t>forecast</w:t>
            </w:r>
            <w:r w:rsidRPr="00AD7333">
              <w:rPr>
                <w:rFonts w:cstheme="minorHAnsi"/>
                <w:bCs/>
                <w:sz w:val="22"/>
                <w:szCs w:val="22"/>
              </w:rPr>
              <w:t xml:space="preserve"> </w:t>
            </w:r>
            <w:r w:rsidRPr="00AD7333">
              <w:rPr>
                <w:rFonts w:cstheme="minorHAnsi"/>
                <w:b/>
                <w:sz w:val="22"/>
                <w:szCs w:val="22"/>
              </w:rPr>
              <w:t>change</w:t>
            </w:r>
            <w:r w:rsidR="00C725BC" w:rsidRPr="00AD7333">
              <w:rPr>
                <w:rFonts w:cstheme="minorHAnsi"/>
                <w:bCs/>
                <w:sz w:val="22"/>
                <w:szCs w:val="22"/>
              </w:rPr>
              <w:t xml:space="preserve"> presenting a negative movement of £568k consistent with a potential staffing pay award of £500k </w:t>
            </w:r>
            <w:r w:rsidR="00AE4CE3" w:rsidRPr="00AD7333">
              <w:rPr>
                <w:rFonts w:cstheme="minorHAnsi"/>
                <w:bCs/>
                <w:sz w:val="22"/>
                <w:szCs w:val="22"/>
              </w:rPr>
              <w:t>for the current</w:t>
            </w:r>
            <w:r w:rsidR="00C725BC" w:rsidRPr="00AD7333">
              <w:rPr>
                <w:rFonts w:cstheme="minorHAnsi"/>
                <w:bCs/>
                <w:sz w:val="22"/>
                <w:szCs w:val="22"/>
              </w:rPr>
              <w:t xml:space="preserve"> </w:t>
            </w:r>
            <w:r w:rsidR="00B17491" w:rsidRPr="00AD7333">
              <w:rPr>
                <w:rFonts w:cstheme="minorHAnsi"/>
                <w:bCs/>
                <w:sz w:val="22"/>
                <w:szCs w:val="22"/>
              </w:rPr>
              <w:t>y</w:t>
            </w:r>
            <w:r w:rsidR="00C725BC" w:rsidRPr="00AD7333">
              <w:rPr>
                <w:rFonts w:cstheme="minorHAnsi"/>
                <w:bCs/>
                <w:sz w:val="22"/>
                <w:szCs w:val="22"/>
              </w:rPr>
              <w:t>ear plus general movement in other pay</w:t>
            </w:r>
            <w:r w:rsidR="00B17491" w:rsidRPr="00AD7333">
              <w:rPr>
                <w:rFonts w:cstheme="minorHAnsi"/>
                <w:bCs/>
                <w:sz w:val="22"/>
                <w:szCs w:val="22"/>
              </w:rPr>
              <w:t>.</w:t>
            </w:r>
          </w:p>
          <w:p w14:paraId="3C7F69A8" w14:textId="43872B22" w:rsidR="002B444D" w:rsidRPr="00AD7333" w:rsidRDefault="002B444D"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Income and Expenditure</w:t>
            </w:r>
            <w:r w:rsidRPr="00AD7333">
              <w:rPr>
                <w:rFonts w:cstheme="minorHAnsi"/>
                <w:bCs/>
                <w:sz w:val="22"/>
                <w:szCs w:val="22"/>
              </w:rPr>
              <w:t xml:space="preserve"> </w:t>
            </w:r>
            <w:r w:rsidR="00B17491" w:rsidRPr="00AD7333">
              <w:rPr>
                <w:rFonts w:cstheme="minorHAnsi"/>
                <w:bCs/>
                <w:sz w:val="22"/>
                <w:szCs w:val="22"/>
              </w:rPr>
              <w:t>and</w:t>
            </w:r>
            <w:r w:rsidRPr="00AD7333">
              <w:rPr>
                <w:rFonts w:cstheme="minorHAnsi"/>
                <w:bCs/>
                <w:sz w:val="22"/>
                <w:szCs w:val="22"/>
              </w:rPr>
              <w:t xml:space="preserve"> </w:t>
            </w:r>
            <w:r w:rsidRPr="00AD7333">
              <w:rPr>
                <w:rFonts w:cstheme="minorHAnsi"/>
                <w:b/>
                <w:sz w:val="22"/>
                <w:szCs w:val="22"/>
              </w:rPr>
              <w:t>month</w:t>
            </w:r>
            <w:r w:rsidR="00B17491" w:rsidRPr="00AD7333">
              <w:rPr>
                <w:rFonts w:cstheme="minorHAnsi"/>
                <w:b/>
                <w:sz w:val="22"/>
                <w:szCs w:val="22"/>
              </w:rPr>
              <w:t>-</w:t>
            </w:r>
            <w:r w:rsidRPr="00AD7333">
              <w:rPr>
                <w:rFonts w:cstheme="minorHAnsi"/>
                <w:b/>
                <w:sz w:val="22"/>
                <w:szCs w:val="22"/>
              </w:rPr>
              <w:t>on</w:t>
            </w:r>
            <w:r w:rsidR="00B17491" w:rsidRPr="00AD7333">
              <w:rPr>
                <w:rFonts w:cstheme="minorHAnsi"/>
                <w:b/>
                <w:sz w:val="22"/>
                <w:szCs w:val="22"/>
              </w:rPr>
              <w:t>-</w:t>
            </w:r>
            <w:r w:rsidRPr="00AD7333">
              <w:rPr>
                <w:rFonts w:cstheme="minorHAnsi"/>
                <w:b/>
                <w:sz w:val="22"/>
                <w:szCs w:val="22"/>
              </w:rPr>
              <w:t>month non-pay forecast</w:t>
            </w:r>
            <w:r w:rsidRPr="00AD7333">
              <w:rPr>
                <w:rFonts w:cstheme="minorHAnsi"/>
                <w:bCs/>
                <w:sz w:val="22"/>
                <w:szCs w:val="22"/>
              </w:rPr>
              <w:t xml:space="preserve"> </w:t>
            </w:r>
            <w:r w:rsidRPr="00AD7333">
              <w:rPr>
                <w:rFonts w:cstheme="minorHAnsi"/>
                <w:b/>
                <w:sz w:val="22"/>
                <w:szCs w:val="22"/>
              </w:rPr>
              <w:t>change</w:t>
            </w:r>
            <w:r w:rsidR="00B17491" w:rsidRPr="00AD7333">
              <w:rPr>
                <w:rFonts w:cstheme="minorHAnsi"/>
                <w:bCs/>
                <w:sz w:val="22"/>
                <w:szCs w:val="22"/>
              </w:rPr>
              <w:t xml:space="preserve"> which addressed the potential Code </w:t>
            </w:r>
            <w:r w:rsidR="00AE4CE3" w:rsidRPr="00AD7333">
              <w:rPr>
                <w:rFonts w:cstheme="minorHAnsi"/>
                <w:bCs/>
                <w:sz w:val="22"/>
                <w:szCs w:val="22"/>
              </w:rPr>
              <w:t>N</w:t>
            </w:r>
            <w:r w:rsidR="00B17491" w:rsidRPr="00AD7333">
              <w:rPr>
                <w:rFonts w:cstheme="minorHAnsi"/>
                <w:bCs/>
                <w:sz w:val="22"/>
                <w:szCs w:val="22"/>
              </w:rPr>
              <w:t>ation additional increase.</w:t>
            </w:r>
          </w:p>
          <w:p w14:paraId="1A4EA9A7" w14:textId="52C100B1" w:rsidR="002B444D" w:rsidRPr="00AD7333" w:rsidRDefault="0075312E"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Income and Expenditure</w:t>
            </w:r>
            <w:r w:rsidRPr="00AD7333">
              <w:rPr>
                <w:rFonts w:cstheme="minorHAnsi"/>
                <w:bCs/>
                <w:sz w:val="22"/>
                <w:szCs w:val="22"/>
              </w:rPr>
              <w:t xml:space="preserve"> </w:t>
            </w:r>
            <w:r w:rsidR="00B17491" w:rsidRPr="00AD7333">
              <w:rPr>
                <w:rFonts w:cstheme="minorHAnsi"/>
                <w:bCs/>
                <w:sz w:val="22"/>
                <w:szCs w:val="22"/>
              </w:rPr>
              <w:t>and</w:t>
            </w:r>
            <w:r w:rsidRPr="00AD7333">
              <w:rPr>
                <w:rFonts w:cstheme="minorHAnsi"/>
                <w:bCs/>
                <w:sz w:val="22"/>
                <w:szCs w:val="22"/>
              </w:rPr>
              <w:t xml:space="preserve"> </w:t>
            </w:r>
            <w:r w:rsidRPr="00AD7333">
              <w:rPr>
                <w:rFonts w:cstheme="minorHAnsi"/>
                <w:b/>
                <w:sz w:val="22"/>
                <w:szCs w:val="22"/>
              </w:rPr>
              <w:t>month</w:t>
            </w:r>
            <w:r w:rsidR="00B17491" w:rsidRPr="00AD7333">
              <w:rPr>
                <w:rFonts w:cstheme="minorHAnsi"/>
                <w:b/>
                <w:sz w:val="22"/>
                <w:szCs w:val="22"/>
              </w:rPr>
              <w:t>-</w:t>
            </w:r>
            <w:r w:rsidRPr="00AD7333">
              <w:rPr>
                <w:rFonts w:cstheme="minorHAnsi"/>
                <w:b/>
                <w:sz w:val="22"/>
                <w:szCs w:val="22"/>
              </w:rPr>
              <w:t>on</w:t>
            </w:r>
            <w:r w:rsidR="00B17491" w:rsidRPr="00AD7333">
              <w:rPr>
                <w:rFonts w:cstheme="minorHAnsi"/>
                <w:b/>
                <w:sz w:val="22"/>
                <w:szCs w:val="22"/>
              </w:rPr>
              <w:t>-</w:t>
            </w:r>
            <w:r w:rsidRPr="00AD7333">
              <w:rPr>
                <w:rFonts w:cstheme="minorHAnsi"/>
                <w:b/>
                <w:sz w:val="22"/>
                <w:szCs w:val="22"/>
              </w:rPr>
              <w:t>month “under the line” forecast change</w:t>
            </w:r>
            <w:r w:rsidR="00B17491" w:rsidRPr="00AD7333">
              <w:rPr>
                <w:rFonts w:cstheme="minorHAnsi"/>
                <w:bCs/>
                <w:sz w:val="22"/>
                <w:szCs w:val="22"/>
              </w:rPr>
              <w:t xml:space="preserve"> which allows for the provision of the option to tax liability of £800k to be released via an accounting adjustment impacting positively on cash but ha</w:t>
            </w:r>
            <w:r w:rsidR="00AE4CE3" w:rsidRPr="00AD7333">
              <w:rPr>
                <w:rFonts w:cstheme="minorHAnsi"/>
                <w:bCs/>
                <w:sz w:val="22"/>
                <w:szCs w:val="22"/>
              </w:rPr>
              <w:t>ving</w:t>
            </w:r>
            <w:r w:rsidR="00B17491" w:rsidRPr="00AD7333">
              <w:rPr>
                <w:rFonts w:cstheme="minorHAnsi"/>
                <w:bCs/>
                <w:sz w:val="22"/>
                <w:szCs w:val="22"/>
              </w:rPr>
              <w:t xml:space="preserve"> no impact on other measures. </w:t>
            </w:r>
          </w:p>
          <w:p w14:paraId="4114832F" w14:textId="7004B84B" w:rsidR="0075312E" w:rsidRPr="00AD7333" w:rsidRDefault="0075312E"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Financial Health</w:t>
            </w:r>
            <w:r w:rsidR="00A85B0D" w:rsidRPr="00AD7333">
              <w:rPr>
                <w:rFonts w:cstheme="minorHAnsi"/>
                <w:bCs/>
                <w:sz w:val="22"/>
                <w:szCs w:val="22"/>
              </w:rPr>
              <w:t xml:space="preserve"> within which the Group continues to forecast an outstanding outcome reflective of the cash positive position but recognising that in future years the position would realign post the completion of the Group’s current and planned capital projects. </w:t>
            </w:r>
          </w:p>
          <w:p w14:paraId="74954CE7" w14:textId="3F7A25E6" w:rsidR="0075312E" w:rsidRPr="00AD7333" w:rsidRDefault="0075312E"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Cash Forecasts</w:t>
            </w:r>
            <w:r w:rsidR="00A85B0D" w:rsidRPr="00AD7333">
              <w:rPr>
                <w:rFonts w:cstheme="minorHAnsi"/>
                <w:bCs/>
                <w:sz w:val="22"/>
                <w:szCs w:val="22"/>
              </w:rPr>
              <w:t xml:space="preserve"> covering the period August 2021 through to July 2023.</w:t>
            </w:r>
          </w:p>
          <w:p w14:paraId="6949EFB2" w14:textId="6992AE88" w:rsidR="0075312E" w:rsidRPr="00AD7333" w:rsidRDefault="0075312E" w:rsidP="00477AC2">
            <w:pPr>
              <w:pStyle w:val="ListParagraph"/>
              <w:numPr>
                <w:ilvl w:val="0"/>
                <w:numId w:val="11"/>
              </w:numPr>
              <w:ind w:left="395" w:hanging="395"/>
              <w:jc w:val="both"/>
              <w:rPr>
                <w:rFonts w:cstheme="minorHAnsi"/>
                <w:bCs/>
                <w:sz w:val="22"/>
                <w:szCs w:val="22"/>
              </w:rPr>
            </w:pPr>
            <w:r w:rsidRPr="00AD7333">
              <w:rPr>
                <w:rFonts w:cstheme="minorHAnsi"/>
                <w:b/>
                <w:sz w:val="22"/>
                <w:szCs w:val="22"/>
              </w:rPr>
              <w:t>Cash use summary</w:t>
            </w:r>
            <w:r w:rsidR="00A85B0D" w:rsidRPr="00AD7333">
              <w:rPr>
                <w:rFonts w:cstheme="minorHAnsi"/>
                <w:bCs/>
                <w:sz w:val="22"/>
                <w:szCs w:val="22"/>
              </w:rPr>
              <w:t xml:space="preserve"> </w:t>
            </w:r>
            <w:r w:rsidR="00D00CD1" w:rsidRPr="00AD7333">
              <w:rPr>
                <w:rFonts w:cstheme="minorHAnsi"/>
                <w:bCs/>
                <w:sz w:val="22"/>
                <w:szCs w:val="22"/>
              </w:rPr>
              <w:t xml:space="preserve">for 2022 </w:t>
            </w:r>
            <w:r w:rsidR="00A85B0D" w:rsidRPr="00AD7333">
              <w:rPr>
                <w:rFonts w:cstheme="minorHAnsi"/>
                <w:bCs/>
                <w:sz w:val="22"/>
                <w:szCs w:val="22"/>
              </w:rPr>
              <w:t>which addresse</w:t>
            </w:r>
            <w:r w:rsidR="00AE4CE3" w:rsidRPr="00AD7333">
              <w:rPr>
                <w:rFonts w:cstheme="minorHAnsi"/>
                <w:bCs/>
                <w:sz w:val="22"/>
                <w:szCs w:val="22"/>
              </w:rPr>
              <w:t>d</w:t>
            </w:r>
            <w:r w:rsidR="00A85B0D" w:rsidRPr="00AD7333">
              <w:rPr>
                <w:rFonts w:cstheme="minorHAnsi"/>
                <w:bCs/>
                <w:sz w:val="22"/>
                <w:szCs w:val="22"/>
              </w:rPr>
              <w:t xml:space="preserve"> the in-year growth funding</w:t>
            </w:r>
            <w:r w:rsidR="00D00CD1" w:rsidRPr="00AD7333">
              <w:rPr>
                <w:rFonts w:cstheme="minorHAnsi"/>
                <w:bCs/>
                <w:sz w:val="22"/>
                <w:szCs w:val="22"/>
              </w:rPr>
              <w:t xml:space="preserve"> and</w:t>
            </w:r>
            <w:r w:rsidR="00A85B0D" w:rsidRPr="00AD7333">
              <w:rPr>
                <w:rFonts w:cstheme="minorHAnsi"/>
                <w:bCs/>
                <w:sz w:val="22"/>
                <w:szCs w:val="22"/>
              </w:rPr>
              <w:t xml:space="preserve"> movement in the capital projects </w:t>
            </w:r>
            <w:r w:rsidR="00D00CD1" w:rsidRPr="00AD7333">
              <w:rPr>
                <w:rFonts w:cstheme="minorHAnsi"/>
                <w:bCs/>
                <w:sz w:val="22"/>
                <w:szCs w:val="22"/>
              </w:rPr>
              <w:t>including</w:t>
            </w:r>
            <w:r w:rsidR="00A85B0D" w:rsidRPr="00AD7333">
              <w:rPr>
                <w:rFonts w:cstheme="minorHAnsi"/>
                <w:bCs/>
                <w:sz w:val="22"/>
                <w:szCs w:val="22"/>
              </w:rPr>
              <w:t xml:space="preserve"> t</w:t>
            </w:r>
            <w:r w:rsidR="00D00CD1" w:rsidRPr="00AD7333">
              <w:rPr>
                <w:rFonts w:cstheme="minorHAnsi"/>
                <w:bCs/>
                <w:sz w:val="22"/>
                <w:szCs w:val="22"/>
              </w:rPr>
              <w:t>he re</w:t>
            </w:r>
            <w:r w:rsidR="00AE4CE3" w:rsidRPr="00AD7333">
              <w:rPr>
                <w:rFonts w:cstheme="minorHAnsi"/>
                <w:bCs/>
                <w:sz w:val="22"/>
                <w:szCs w:val="22"/>
              </w:rPr>
              <w:t>-</w:t>
            </w:r>
            <w:r w:rsidR="00D00CD1" w:rsidRPr="00AD7333">
              <w:rPr>
                <w:rFonts w:cstheme="minorHAnsi"/>
                <w:bCs/>
                <w:sz w:val="22"/>
                <w:szCs w:val="22"/>
              </w:rPr>
              <w:t>phasing of the Stockport re</w:t>
            </w:r>
            <w:r w:rsidR="00AE4CE3" w:rsidRPr="00AD7333">
              <w:rPr>
                <w:rFonts w:cstheme="minorHAnsi"/>
                <w:bCs/>
                <w:sz w:val="22"/>
                <w:szCs w:val="22"/>
              </w:rPr>
              <w:t>-</w:t>
            </w:r>
            <w:r w:rsidR="00D00CD1" w:rsidRPr="00AD7333">
              <w:rPr>
                <w:rFonts w:cstheme="minorHAnsi"/>
                <w:bCs/>
                <w:sz w:val="22"/>
                <w:szCs w:val="22"/>
              </w:rPr>
              <w:t>development and the meeting of December 2022 completion date.</w:t>
            </w:r>
          </w:p>
          <w:p w14:paraId="1D4B52E2" w14:textId="5A4156CF" w:rsidR="00B2792E" w:rsidRPr="00AD7333" w:rsidRDefault="00B2792E" w:rsidP="00AD7333">
            <w:pPr>
              <w:jc w:val="both"/>
              <w:rPr>
                <w:rFonts w:cstheme="minorHAnsi"/>
                <w:bCs/>
                <w:sz w:val="22"/>
                <w:szCs w:val="22"/>
              </w:rPr>
            </w:pPr>
          </w:p>
          <w:p w14:paraId="2AB083A9" w14:textId="5D6F2E20" w:rsidR="00481633" w:rsidRPr="00AD7333" w:rsidRDefault="00D00CD1" w:rsidP="00AD7333">
            <w:pPr>
              <w:jc w:val="both"/>
              <w:rPr>
                <w:rFonts w:cstheme="minorHAnsi"/>
                <w:bCs/>
                <w:sz w:val="22"/>
                <w:szCs w:val="22"/>
              </w:rPr>
            </w:pPr>
            <w:r w:rsidRPr="00AD7333">
              <w:rPr>
                <w:rFonts w:cstheme="minorHAnsi"/>
                <w:bCs/>
                <w:sz w:val="22"/>
                <w:szCs w:val="22"/>
              </w:rPr>
              <w:t>Questions from members were invited.</w:t>
            </w:r>
          </w:p>
          <w:p w14:paraId="2FD9B658" w14:textId="4E350890" w:rsidR="005256F7" w:rsidRPr="00AD7333" w:rsidRDefault="005256F7" w:rsidP="00AD7333">
            <w:pPr>
              <w:jc w:val="both"/>
              <w:rPr>
                <w:rFonts w:cstheme="minorHAnsi"/>
                <w:bCs/>
                <w:sz w:val="22"/>
                <w:szCs w:val="22"/>
              </w:rPr>
            </w:pPr>
          </w:p>
          <w:p w14:paraId="75C335DE" w14:textId="6F3CF85D" w:rsidR="006D3E7A" w:rsidRPr="00AD7333" w:rsidRDefault="00D00CD1" w:rsidP="00477AC2">
            <w:pPr>
              <w:pStyle w:val="ListParagraph"/>
              <w:numPr>
                <w:ilvl w:val="0"/>
                <w:numId w:val="6"/>
              </w:numPr>
              <w:ind w:left="395" w:hanging="425"/>
              <w:jc w:val="both"/>
              <w:rPr>
                <w:rFonts w:cstheme="minorHAnsi"/>
                <w:bCs/>
                <w:sz w:val="22"/>
                <w:szCs w:val="22"/>
              </w:rPr>
            </w:pPr>
            <w:r w:rsidRPr="00AD7333">
              <w:rPr>
                <w:rFonts w:cstheme="minorHAnsi"/>
                <w:bCs/>
                <w:sz w:val="22"/>
                <w:szCs w:val="22"/>
              </w:rPr>
              <w:t xml:space="preserve">A comment was made in relation to the positive </w:t>
            </w:r>
            <w:r w:rsidR="00AE4CE3" w:rsidRPr="00AD7333">
              <w:rPr>
                <w:rFonts w:cstheme="minorHAnsi"/>
                <w:bCs/>
                <w:sz w:val="22"/>
                <w:szCs w:val="22"/>
              </w:rPr>
              <w:t xml:space="preserve">cash </w:t>
            </w:r>
            <w:r w:rsidRPr="00AD7333">
              <w:rPr>
                <w:rFonts w:cstheme="minorHAnsi"/>
                <w:bCs/>
                <w:sz w:val="22"/>
                <w:szCs w:val="22"/>
              </w:rPr>
              <w:t>position and it was asked whether moving forward if costs could be main</w:t>
            </w:r>
            <w:r w:rsidR="00B824AB" w:rsidRPr="00AD7333">
              <w:rPr>
                <w:rFonts w:cstheme="minorHAnsi"/>
                <w:bCs/>
                <w:sz w:val="22"/>
                <w:szCs w:val="22"/>
              </w:rPr>
              <w:t>tained under control to continue to deliver a</w:t>
            </w:r>
            <w:r w:rsidR="00AE4CE3" w:rsidRPr="00AD7333">
              <w:rPr>
                <w:rFonts w:cstheme="minorHAnsi"/>
                <w:bCs/>
                <w:sz w:val="22"/>
                <w:szCs w:val="22"/>
              </w:rPr>
              <w:t>n ongoing</w:t>
            </w:r>
            <w:r w:rsidR="00B824AB" w:rsidRPr="00AD7333">
              <w:rPr>
                <w:rFonts w:cstheme="minorHAnsi"/>
                <w:bCs/>
                <w:sz w:val="22"/>
                <w:szCs w:val="22"/>
              </w:rPr>
              <w:t xml:space="preserve"> positive position.</w:t>
            </w:r>
          </w:p>
          <w:p w14:paraId="2D6B382B" w14:textId="30A5FE0A" w:rsidR="00B824AB" w:rsidRPr="00AD7333" w:rsidRDefault="00B824AB" w:rsidP="00AD7333">
            <w:pPr>
              <w:jc w:val="both"/>
              <w:rPr>
                <w:rFonts w:cstheme="minorHAnsi"/>
                <w:bCs/>
                <w:sz w:val="22"/>
                <w:szCs w:val="22"/>
              </w:rPr>
            </w:pPr>
          </w:p>
          <w:p w14:paraId="6B0F9B6C" w14:textId="3F2AF3CF" w:rsidR="00B824AB" w:rsidRPr="00AD7333" w:rsidRDefault="00B824AB" w:rsidP="00AD7333">
            <w:pPr>
              <w:jc w:val="both"/>
              <w:rPr>
                <w:rFonts w:cstheme="minorHAnsi"/>
                <w:bCs/>
                <w:sz w:val="22"/>
                <w:szCs w:val="22"/>
              </w:rPr>
            </w:pPr>
            <w:r w:rsidRPr="00AD7333">
              <w:rPr>
                <w:rFonts w:cstheme="minorHAnsi"/>
                <w:bCs/>
                <w:sz w:val="22"/>
                <w:szCs w:val="22"/>
              </w:rPr>
              <w:t>The DF responded that there were risks that the Group was working to mitigate against which included factors such as the pensions grant</w:t>
            </w:r>
            <w:r w:rsidR="00AE4CE3" w:rsidRPr="00AD7333">
              <w:rPr>
                <w:rFonts w:cstheme="minorHAnsi"/>
                <w:bCs/>
                <w:sz w:val="22"/>
                <w:szCs w:val="22"/>
              </w:rPr>
              <w:t>,</w:t>
            </w:r>
            <w:r w:rsidRPr="00AD7333">
              <w:rPr>
                <w:rFonts w:cstheme="minorHAnsi"/>
                <w:bCs/>
                <w:sz w:val="22"/>
                <w:szCs w:val="22"/>
              </w:rPr>
              <w:t xml:space="preserve"> the loss of which would have a significant impact </w:t>
            </w:r>
          </w:p>
          <w:p w14:paraId="26B9CDB0" w14:textId="41149B53" w:rsidR="00B824AB" w:rsidRPr="00AD7333" w:rsidRDefault="00B824AB" w:rsidP="00AD7333">
            <w:pPr>
              <w:jc w:val="both"/>
              <w:rPr>
                <w:rFonts w:cstheme="minorHAnsi"/>
                <w:bCs/>
                <w:sz w:val="22"/>
                <w:szCs w:val="22"/>
              </w:rPr>
            </w:pPr>
          </w:p>
          <w:p w14:paraId="4E979671" w14:textId="7660B2FE" w:rsidR="00B824AB" w:rsidRPr="00AD7333" w:rsidRDefault="00B824AB" w:rsidP="00477AC2">
            <w:pPr>
              <w:pStyle w:val="ListParagraph"/>
              <w:numPr>
                <w:ilvl w:val="0"/>
                <w:numId w:val="6"/>
              </w:numPr>
              <w:ind w:left="395" w:hanging="395"/>
              <w:jc w:val="both"/>
              <w:rPr>
                <w:rFonts w:cstheme="minorHAnsi"/>
                <w:bCs/>
                <w:sz w:val="22"/>
                <w:szCs w:val="22"/>
              </w:rPr>
            </w:pPr>
            <w:r w:rsidRPr="00AD7333">
              <w:rPr>
                <w:rFonts w:cstheme="minorHAnsi"/>
                <w:bCs/>
                <w:sz w:val="22"/>
                <w:szCs w:val="22"/>
              </w:rPr>
              <w:t>A further comment was made by a member in respect of the future impact of rising inflation.</w:t>
            </w:r>
          </w:p>
          <w:p w14:paraId="7C1CC6F0" w14:textId="0456ED10" w:rsidR="00B824AB" w:rsidRPr="00AD7333" w:rsidRDefault="00B824AB" w:rsidP="00AD7333">
            <w:pPr>
              <w:jc w:val="both"/>
              <w:rPr>
                <w:rFonts w:cstheme="minorHAnsi"/>
                <w:bCs/>
                <w:sz w:val="22"/>
                <w:szCs w:val="22"/>
              </w:rPr>
            </w:pPr>
          </w:p>
          <w:p w14:paraId="15D140FA" w14:textId="2EAE78E5" w:rsidR="00B824AB" w:rsidRPr="00AD7333" w:rsidRDefault="00B824AB" w:rsidP="00AD7333">
            <w:pPr>
              <w:jc w:val="both"/>
              <w:rPr>
                <w:rFonts w:cstheme="minorHAnsi"/>
                <w:bCs/>
                <w:sz w:val="22"/>
                <w:szCs w:val="22"/>
              </w:rPr>
            </w:pPr>
            <w:r w:rsidRPr="00AD7333">
              <w:rPr>
                <w:rFonts w:cstheme="minorHAnsi"/>
                <w:bCs/>
                <w:sz w:val="22"/>
                <w:szCs w:val="22"/>
              </w:rPr>
              <w:t>The PCEO stated that key was</w:t>
            </w:r>
            <w:r w:rsidR="00DB6C34" w:rsidRPr="00AD7333">
              <w:rPr>
                <w:rFonts w:cstheme="minorHAnsi"/>
                <w:bCs/>
                <w:sz w:val="22"/>
                <w:szCs w:val="22"/>
              </w:rPr>
              <w:t xml:space="preserve"> balancing and controlling risks, including inflation, whilst continuing to invest in students adding that the Group aspired to excellence in all areas of the Group of which the Group’s finances was only one aspect. </w:t>
            </w:r>
          </w:p>
          <w:p w14:paraId="15F6D114" w14:textId="38BFB313" w:rsidR="005256F7" w:rsidRPr="00AD7333" w:rsidRDefault="005256F7" w:rsidP="00AD7333">
            <w:pPr>
              <w:jc w:val="both"/>
              <w:rPr>
                <w:rFonts w:cstheme="minorHAnsi"/>
                <w:bCs/>
                <w:sz w:val="22"/>
                <w:szCs w:val="22"/>
              </w:rPr>
            </w:pPr>
          </w:p>
          <w:p w14:paraId="4247B5A4" w14:textId="345D905E" w:rsidR="00B2792E" w:rsidRPr="00AD7333" w:rsidRDefault="00773CC0" w:rsidP="00AD7333">
            <w:pPr>
              <w:jc w:val="both"/>
              <w:rPr>
                <w:rFonts w:cstheme="minorHAnsi"/>
                <w:b/>
                <w:sz w:val="22"/>
                <w:szCs w:val="22"/>
              </w:rPr>
            </w:pPr>
            <w:r w:rsidRPr="00AD7333">
              <w:rPr>
                <w:rFonts w:cstheme="minorHAnsi"/>
                <w:b/>
                <w:sz w:val="22"/>
                <w:szCs w:val="22"/>
              </w:rPr>
              <w:t xml:space="preserve">There were no further questions or issues raised by members and following due consideration and deliberation it was resolved that the Management Accounts for the period to 31 January 2022 </w:t>
            </w:r>
            <w:r w:rsidR="00EB3705" w:rsidRPr="00AD7333">
              <w:rPr>
                <w:rFonts w:cstheme="minorHAnsi"/>
                <w:b/>
                <w:sz w:val="22"/>
                <w:szCs w:val="22"/>
              </w:rPr>
              <w:t>be recommended to the Board of the Corporation for approval.</w:t>
            </w:r>
          </w:p>
          <w:p w14:paraId="73A7B6ED" w14:textId="411E6F1A" w:rsidR="00ED6B91" w:rsidRPr="00AD7333" w:rsidRDefault="00ED6B91" w:rsidP="00AD7333">
            <w:pPr>
              <w:jc w:val="both"/>
              <w:rPr>
                <w:rFonts w:cstheme="minorHAnsi"/>
                <w:bCs/>
                <w:sz w:val="22"/>
                <w:szCs w:val="22"/>
              </w:rPr>
            </w:pPr>
          </w:p>
        </w:tc>
      </w:tr>
      <w:tr w:rsidR="0020685E" w:rsidRPr="00AD7333" w14:paraId="699784E1" w14:textId="77777777" w:rsidTr="00AD7333">
        <w:tc>
          <w:tcPr>
            <w:tcW w:w="767" w:type="pct"/>
          </w:tcPr>
          <w:p w14:paraId="1E3A2F55" w14:textId="28327C5C" w:rsidR="0020685E" w:rsidRPr="00AD7333" w:rsidRDefault="002F1537" w:rsidP="00AD7333">
            <w:pPr>
              <w:jc w:val="both"/>
              <w:rPr>
                <w:rFonts w:cstheme="minorHAnsi"/>
                <w:b/>
                <w:bCs/>
                <w:sz w:val="22"/>
                <w:szCs w:val="22"/>
              </w:rPr>
            </w:pPr>
            <w:r w:rsidRPr="00AD7333">
              <w:rPr>
                <w:rFonts w:cstheme="minorHAnsi"/>
                <w:b/>
                <w:bCs/>
                <w:sz w:val="22"/>
                <w:szCs w:val="22"/>
              </w:rPr>
              <w:lastRenderedPageBreak/>
              <w:t>RES/12/22</w:t>
            </w:r>
          </w:p>
        </w:tc>
        <w:tc>
          <w:tcPr>
            <w:tcW w:w="4233" w:type="pct"/>
          </w:tcPr>
          <w:p w14:paraId="5C52E4A4" w14:textId="77777777" w:rsidR="00455921" w:rsidRPr="00AD7333" w:rsidRDefault="002F1537" w:rsidP="00AD7333">
            <w:pPr>
              <w:jc w:val="both"/>
              <w:rPr>
                <w:rFonts w:cstheme="minorHAnsi"/>
                <w:sz w:val="22"/>
                <w:szCs w:val="22"/>
              </w:rPr>
            </w:pPr>
            <w:r w:rsidRPr="00AD7333">
              <w:rPr>
                <w:rFonts w:cstheme="minorHAnsi"/>
                <w:b/>
                <w:bCs/>
                <w:sz w:val="22"/>
                <w:szCs w:val="22"/>
              </w:rPr>
              <w:t>Treasury Management Policy 2022-2025</w:t>
            </w:r>
          </w:p>
          <w:p w14:paraId="52D365F4" w14:textId="1F6857A3" w:rsidR="002F1537" w:rsidRPr="00AD7333" w:rsidRDefault="002F1537" w:rsidP="00AD7333">
            <w:pPr>
              <w:jc w:val="both"/>
              <w:rPr>
                <w:rFonts w:cstheme="minorHAnsi"/>
                <w:sz w:val="22"/>
                <w:szCs w:val="22"/>
              </w:rPr>
            </w:pPr>
          </w:p>
          <w:p w14:paraId="00F6D492" w14:textId="65BB8DA7" w:rsidR="007777A7" w:rsidRPr="00AD7333" w:rsidRDefault="007777A7" w:rsidP="00AD7333">
            <w:pPr>
              <w:jc w:val="both"/>
              <w:rPr>
                <w:rFonts w:cstheme="minorHAnsi"/>
                <w:sz w:val="22"/>
                <w:szCs w:val="22"/>
              </w:rPr>
            </w:pPr>
            <w:r w:rsidRPr="00AD7333">
              <w:rPr>
                <w:rFonts w:cstheme="minorHAnsi"/>
                <w:sz w:val="22"/>
                <w:szCs w:val="22"/>
              </w:rPr>
              <w:t>The Chief Finance Officer (CFO) referred members to the previously cir</w:t>
            </w:r>
            <w:r w:rsidR="00E43DC7" w:rsidRPr="00AD7333">
              <w:rPr>
                <w:rFonts w:cstheme="minorHAnsi"/>
                <w:sz w:val="22"/>
                <w:szCs w:val="22"/>
              </w:rPr>
              <w:t>c</w:t>
            </w:r>
            <w:r w:rsidRPr="00AD7333">
              <w:rPr>
                <w:rFonts w:cstheme="minorHAnsi"/>
                <w:sz w:val="22"/>
                <w:szCs w:val="22"/>
              </w:rPr>
              <w:t>ul</w:t>
            </w:r>
            <w:r w:rsidR="00E43DC7" w:rsidRPr="00AD7333">
              <w:rPr>
                <w:rFonts w:cstheme="minorHAnsi"/>
                <w:sz w:val="22"/>
                <w:szCs w:val="22"/>
              </w:rPr>
              <w:t>a</w:t>
            </w:r>
            <w:r w:rsidRPr="00AD7333">
              <w:rPr>
                <w:rFonts w:cstheme="minorHAnsi"/>
                <w:sz w:val="22"/>
                <w:szCs w:val="22"/>
              </w:rPr>
              <w:t>ted</w:t>
            </w:r>
            <w:r w:rsidR="00E43DC7" w:rsidRPr="00AD7333">
              <w:rPr>
                <w:rFonts w:cstheme="minorHAnsi"/>
                <w:sz w:val="22"/>
                <w:szCs w:val="22"/>
              </w:rPr>
              <w:t xml:space="preserve"> report and proposals in relation to the creation of a standalone Treasury Management Policy (TMP).</w:t>
            </w:r>
          </w:p>
          <w:p w14:paraId="1FBE26E6" w14:textId="5CE71979" w:rsidR="00E43DC7" w:rsidRPr="00AD7333" w:rsidRDefault="00E43DC7" w:rsidP="00AD7333">
            <w:pPr>
              <w:jc w:val="both"/>
              <w:rPr>
                <w:rFonts w:cstheme="minorHAnsi"/>
                <w:sz w:val="22"/>
                <w:szCs w:val="22"/>
              </w:rPr>
            </w:pPr>
          </w:p>
          <w:p w14:paraId="28C92195" w14:textId="01D5042C" w:rsidR="00E43DC7" w:rsidRPr="00AD7333" w:rsidRDefault="00E43DC7" w:rsidP="00AD7333">
            <w:pPr>
              <w:jc w:val="both"/>
              <w:rPr>
                <w:rFonts w:cstheme="minorHAnsi"/>
                <w:sz w:val="22"/>
                <w:szCs w:val="22"/>
              </w:rPr>
            </w:pPr>
            <w:r w:rsidRPr="00AD7333">
              <w:rPr>
                <w:rFonts w:cstheme="minorHAnsi"/>
                <w:sz w:val="22"/>
                <w:szCs w:val="22"/>
              </w:rPr>
              <w:t>There was confirmation that the TMP was currently a section within the Group’s Financial Regulations and as suc</w:t>
            </w:r>
            <w:r w:rsidR="00E14796" w:rsidRPr="00AD7333">
              <w:rPr>
                <w:rFonts w:cstheme="minorHAnsi"/>
                <w:sz w:val="22"/>
                <w:szCs w:val="22"/>
              </w:rPr>
              <w:t>h</w:t>
            </w:r>
            <w:r w:rsidRPr="00AD7333">
              <w:rPr>
                <w:rFonts w:cstheme="minorHAnsi"/>
                <w:sz w:val="22"/>
                <w:szCs w:val="22"/>
              </w:rPr>
              <w:t xml:space="preserve"> requires Board approval.  It was stated that the Committee was charged with the oversight of the treasury options of the Group arising from which a standalone TMP had been created for consideration and approval by the Committee.</w:t>
            </w:r>
          </w:p>
          <w:p w14:paraId="7A40A932" w14:textId="1DA7CB8B" w:rsidR="00E43DC7" w:rsidRPr="00AD7333" w:rsidRDefault="00E43DC7" w:rsidP="00AD7333">
            <w:pPr>
              <w:jc w:val="both"/>
              <w:rPr>
                <w:rFonts w:cstheme="minorHAnsi"/>
                <w:sz w:val="22"/>
                <w:szCs w:val="22"/>
              </w:rPr>
            </w:pPr>
          </w:p>
          <w:p w14:paraId="49384805" w14:textId="00626D6E" w:rsidR="00E43DC7" w:rsidRPr="00AD7333" w:rsidRDefault="00E43DC7" w:rsidP="00AD7333">
            <w:pPr>
              <w:jc w:val="both"/>
              <w:rPr>
                <w:rFonts w:cstheme="minorHAnsi"/>
                <w:sz w:val="22"/>
                <w:szCs w:val="22"/>
              </w:rPr>
            </w:pPr>
            <w:r w:rsidRPr="00AD7333">
              <w:rPr>
                <w:rFonts w:cstheme="minorHAnsi"/>
                <w:sz w:val="22"/>
                <w:szCs w:val="22"/>
              </w:rPr>
              <w:t xml:space="preserve">The CFO confirmed that the </w:t>
            </w:r>
            <w:r w:rsidR="008D1081" w:rsidRPr="00AD7333">
              <w:rPr>
                <w:rFonts w:cstheme="minorHAnsi"/>
                <w:sz w:val="22"/>
                <w:szCs w:val="22"/>
              </w:rPr>
              <w:t xml:space="preserve">proposed TMP had been reviewed in the context of </w:t>
            </w:r>
            <w:r w:rsidR="00AA0BCE" w:rsidRPr="00AD7333">
              <w:rPr>
                <w:rFonts w:cstheme="minorHAnsi"/>
                <w:sz w:val="22"/>
                <w:szCs w:val="22"/>
              </w:rPr>
              <w:t>best practic</w:t>
            </w:r>
            <w:r w:rsidR="00471F17" w:rsidRPr="00AD7333">
              <w:rPr>
                <w:rFonts w:cstheme="minorHAnsi"/>
                <w:sz w:val="22"/>
                <w:szCs w:val="22"/>
              </w:rPr>
              <w:t xml:space="preserve">e and refreshed around the risks.  It was </w:t>
            </w:r>
            <w:r w:rsidR="00AA0BCE" w:rsidRPr="00AD7333">
              <w:rPr>
                <w:rFonts w:cstheme="minorHAnsi"/>
                <w:sz w:val="22"/>
                <w:szCs w:val="22"/>
              </w:rPr>
              <w:t xml:space="preserve">further </w:t>
            </w:r>
            <w:r w:rsidR="00471F17" w:rsidRPr="00AD7333">
              <w:rPr>
                <w:rFonts w:cstheme="minorHAnsi"/>
                <w:sz w:val="22"/>
                <w:szCs w:val="22"/>
              </w:rPr>
              <w:t xml:space="preserve">stated </w:t>
            </w:r>
            <w:r w:rsidR="00AA0BCE" w:rsidRPr="00AD7333">
              <w:rPr>
                <w:rFonts w:cstheme="minorHAnsi"/>
                <w:sz w:val="22"/>
                <w:szCs w:val="22"/>
              </w:rPr>
              <w:t xml:space="preserve">that the principles within </w:t>
            </w:r>
            <w:r w:rsidR="00471F17" w:rsidRPr="00AD7333">
              <w:rPr>
                <w:rFonts w:cstheme="minorHAnsi"/>
                <w:sz w:val="22"/>
                <w:szCs w:val="22"/>
              </w:rPr>
              <w:t>T</w:t>
            </w:r>
            <w:r w:rsidR="00AA0BCE" w:rsidRPr="00AD7333">
              <w:rPr>
                <w:rFonts w:cstheme="minorHAnsi"/>
                <w:sz w:val="22"/>
                <w:szCs w:val="22"/>
              </w:rPr>
              <w:t xml:space="preserve">he </w:t>
            </w:r>
            <w:r w:rsidR="00471F17" w:rsidRPr="00AD7333">
              <w:rPr>
                <w:rFonts w:cstheme="minorHAnsi"/>
                <w:sz w:val="22"/>
                <w:szCs w:val="22"/>
              </w:rPr>
              <w:t>Chartered Institute of Public Finance and Accountancy (</w:t>
            </w:r>
            <w:r w:rsidR="00AA0BCE" w:rsidRPr="00AD7333">
              <w:rPr>
                <w:rFonts w:cstheme="minorHAnsi"/>
                <w:sz w:val="22"/>
                <w:szCs w:val="22"/>
              </w:rPr>
              <w:t>CIPFA</w:t>
            </w:r>
            <w:r w:rsidR="00471F17" w:rsidRPr="00AD7333">
              <w:rPr>
                <w:rFonts w:cstheme="minorHAnsi"/>
                <w:sz w:val="22"/>
                <w:szCs w:val="22"/>
              </w:rPr>
              <w:t>)</w:t>
            </w:r>
            <w:r w:rsidR="00AA0BCE" w:rsidRPr="00AD7333">
              <w:rPr>
                <w:rFonts w:cstheme="minorHAnsi"/>
                <w:sz w:val="22"/>
                <w:szCs w:val="22"/>
              </w:rPr>
              <w:t xml:space="preserve"> Code had also been adopted</w:t>
            </w:r>
            <w:r w:rsidR="00E14796" w:rsidRPr="00AD7333">
              <w:rPr>
                <w:rFonts w:cstheme="minorHAnsi"/>
                <w:sz w:val="22"/>
                <w:szCs w:val="22"/>
              </w:rPr>
              <w:t>,</w:t>
            </w:r>
            <w:r w:rsidR="00AA0BCE" w:rsidRPr="00AD7333">
              <w:rPr>
                <w:rFonts w:cstheme="minorHAnsi"/>
                <w:sz w:val="22"/>
                <w:szCs w:val="22"/>
              </w:rPr>
              <w:t xml:space="preserve"> as appropriate</w:t>
            </w:r>
            <w:r w:rsidR="00E14796" w:rsidRPr="00AD7333">
              <w:rPr>
                <w:rFonts w:cstheme="minorHAnsi"/>
                <w:sz w:val="22"/>
                <w:szCs w:val="22"/>
              </w:rPr>
              <w:t>,</w:t>
            </w:r>
            <w:r w:rsidR="00AA0BCE" w:rsidRPr="00AD7333">
              <w:rPr>
                <w:rFonts w:cstheme="minorHAnsi"/>
                <w:sz w:val="22"/>
                <w:szCs w:val="22"/>
              </w:rPr>
              <w:t xml:space="preserve"> to the Group.</w:t>
            </w:r>
          </w:p>
          <w:p w14:paraId="4EEA008E" w14:textId="77777777" w:rsidR="00E43DC7" w:rsidRPr="00AD7333" w:rsidRDefault="00E43DC7" w:rsidP="00AD7333">
            <w:pPr>
              <w:jc w:val="both"/>
              <w:rPr>
                <w:rFonts w:cstheme="minorHAnsi"/>
                <w:sz w:val="22"/>
                <w:szCs w:val="22"/>
              </w:rPr>
            </w:pPr>
          </w:p>
          <w:p w14:paraId="0328294B" w14:textId="15B433E1" w:rsidR="00ED6B91" w:rsidRPr="00AD7333" w:rsidRDefault="00471F17" w:rsidP="00AD7333">
            <w:pPr>
              <w:jc w:val="both"/>
              <w:rPr>
                <w:rFonts w:cstheme="minorHAnsi"/>
                <w:sz w:val="22"/>
                <w:szCs w:val="22"/>
              </w:rPr>
            </w:pPr>
            <w:r w:rsidRPr="00AD7333">
              <w:rPr>
                <w:rFonts w:cstheme="minorHAnsi"/>
                <w:sz w:val="22"/>
                <w:szCs w:val="22"/>
              </w:rPr>
              <w:t>The CFO reiterated that should there be a fundamental change to the financial instrument i.e. a different too</w:t>
            </w:r>
            <w:r w:rsidR="00E14796" w:rsidRPr="00AD7333">
              <w:rPr>
                <w:rFonts w:cstheme="minorHAnsi"/>
                <w:sz w:val="22"/>
                <w:szCs w:val="22"/>
              </w:rPr>
              <w:t>l</w:t>
            </w:r>
            <w:r w:rsidRPr="00AD7333">
              <w:rPr>
                <w:rFonts w:cstheme="minorHAnsi"/>
                <w:sz w:val="22"/>
                <w:szCs w:val="22"/>
              </w:rPr>
              <w:t xml:space="preserve"> to that which was currently in place and used, the approval of the Board of the Corporation would be required.</w:t>
            </w:r>
            <w:r w:rsidR="00322CB9" w:rsidRPr="00AD7333">
              <w:rPr>
                <w:rFonts w:cstheme="minorHAnsi"/>
                <w:sz w:val="22"/>
                <w:szCs w:val="22"/>
              </w:rPr>
              <w:t xml:space="preserve">  </w:t>
            </w:r>
          </w:p>
          <w:p w14:paraId="2A139C21" w14:textId="4D595476" w:rsidR="00471F17" w:rsidRPr="00AD7333" w:rsidRDefault="00471F17" w:rsidP="00AD7333">
            <w:pPr>
              <w:jc w:val="both"/>
              <w:rPr>
                <w:rFonts w:cstheme="minorHAnsi"/>
                <w:sz w:val="22"/>
                <w:szCs w:val="22"/>
              </w:rPr>
            </w:pPr>
          </w:p>
          <w:p w14:paraId="770A0EBA" w14:textId="54033309" w:rsidR="00471F17" w:rsidRPr="00AD7333" w:rsidRDefault="00471F17" w:rsidP="00AD7333">
            <w:pPr>
              <w:jc w:val="both"/>
              <w:rPr>
                <w:rFonts w:cstheme="minorHAnsi"/>
                <w:sz w:val="22"/>
                <w:szCs w:val="22"/>
              </w:rPr>
            </w:pPr>
            <w:r w:rsidRPr="00AD7333">
              <w:rPr>
                <w:rFonts w:cstheme="minorHAnsi"/>
                <w:sz w:val="22"/>
                <w:szCs w:val="22"/>
              </w:rPr>
              <w:t>Questions from members were invited.</w:t>
            </w:r>
          </w:p>
          <w:p w14:paraId="19C9B2EB" w14:textId="69E1A242" w:rsidR="00471F17" w:rsidRPr="00AD7333" w:rsidRDefault="00471F17" w:rsidP="00AD7333">
            <w:pPr>
              <w:jc w:val="both"/>
              <w:rPr>
                <w:rFonts w:cstheme="minorHAnsi"/>
                <w:sz w:val="22"/>
                <w:szCs w:val="22"/>
              </w:rPr>
            </w:pPr>
          </w:p>
          <w:p w14:paraId="101AA35C" w14:textId="04E2B2FB" w:rsidR="00471F17" w:rsidRPr="00AD7333" w:rsidRDefault="00471F17" w:rsidP="00477AC2">
            <w:pPr>
              <w:pStyle w:val="ListParagraph"/>
              <w:numPr>
                <w:ilvl w:val="0"/>
                <w:numId w:val="2"/>
              </w:numPr>
              <w:ind w:left="395" w:hanging="395"/>
              <w:jc w:val="both"/>
              <w:rPr>
                <w:rFonts w:cstheme="minorHAnsi"/>
                <w:sz w:val="22"/>
                <w:szCs w:val="22"/>
              </w:rPr>
            </w:pPr>
            <w:r w:rsidRPr="00AD7333">
              <w:rPr>
                <w:rFonts w:cstheme="minorHAnsi"/>
                <w:sz w:val="22"/>
                <w:szCs w:val="22"/>
              </w:rPr>
              <w:t>A question was asked by a member as to whether there was sight of where the Group’s funds may be invested citing the reputational risk of investments in Russia.</w:t>
            </w:r>
          </w:p>
          <w:p w14:paraId="07F8F14C" w14:textId="0B7DBF30" w:rsidR="00471F17" w:rsidRPr="00AD7333" w:rsidRDefault="00471F17" w:rsidP="00AD7333">
            <w:pPr>
              <w:jc w:val="both"/>
              <w:rPr>
                <w:rFonts w:cstheme="minorHAnsi"/>
                <w:sz w:val="22"/>
                <w:szCs w:val="22"/>
              </w:rPr>
            </w:pPr>
          </w:p>
          <w:p w14:paraId="2EA9AE44" w14:textId="4CDA6BD4" w:rsidR="008C0BAA" w:rsidRPr="00AD7333" w:rsidRDefault="00471F17" w:rsidP="00AD7333">
            <w:pPr>
              <w:jc w:val="both"/>
              <w:rPr>
                <w:rFonts w:cstheme="minorHAnsi"/>
                <w:sz w:val="22"/>
                <w:szCs w:val="22"/>
              </w:rPr>
            </w:pPr>
            <w:r w:rsidRPr="00AD7333">
              <w:rPr>
                <w:rFonts w:cstheme="minorHAnsi"/>
                <w:sz w:val="22"/>
                <w:szCs w:val="22"/>
              </w:rPr>
              <w:t xml:space="preserve">The CFO responded that </w:t>
            </w:r>
            <w:r w:rsidR="00B94873" w:rsidRPr="00AD7333">
              <w:rPr>
                <w:rFonts w:cstheme="minorHAnsi"/>
                <w:sz w:val="22"/>
                <w:szCs w:val="22"/>
              </w:rPr>
              <w:t xml:space="preserve">this information was routinely provided within the annual </w:t>
            </w:r>
            <w:r w:rsidR="00E14796" w:rsidRPr="00AD7333">
              <w:rPr>
                <w:rFonts w:cstheme="minorHAnsi"/>
                <w:sz w:val="22"/>
                <w:szCs w:val="22"/>
              </w:rPr>
              <w:t xml:space="preserve">Treasury Management </w:t>
            </w:r>
            <w:r w:rsidR="00B94873" w:rsidRPr="00AD7333">
              <w:rPr>
                <w:rFonts w:cstheme="minorHAnsi"/>
                <w:sz w:val="22"/>
                <w:szCs w:val="22"/>
              </w:rPr>
              <w:t>reporting</w:t>
            </w:r>
            <w:r w:rsidR="008C0BAA" w:rsidRPr="00AD7333">
              <w:rPr>
                <w:rFonts w:cstheme="minorHAnsi"/>
                <w:sz w:val="22"/>
                <w:szCs w:val="22"/>
              </w:rPr>
              <w:t xml:space="preserve"> to the Committee and Board of the Corporation.  There was confirmation that monies were currently invest</w:t>
            </w:r>
            <w:r w:rsidR="00E14796" w:rsidRPr="00AD7333">
              <w:rPr>
                <w:rFonts w:cstheme="minorHAnsi"/>
                <w:sz w:val="22"/>
                <w:szCs w:val="22"/>
              </w:rPr>
              <w:t>ed</w:t>
            </w:r>
            <w:r w:rsidR="008C0BAA" w:rsidRPr="00AD7333">
              <w:rPr>
                <w:rFonts w:cstheme="minorHAnsi"/>
                <w:sz w:val="22"/>
                <w:szCs w:val="22"/>
              </w:rPr>
              <w:t xml:space="preserve"> with two UK based banks.  Reassurance was provided that the financial products were safe and largely risk averse.  It was further intimated that the Group would only be holding high cash balances in the current year, consistent with the GMCA’s funding profile for the Stockport redevelopment, and that moving forward balances were likely to return to much lower levels.</w:t>
            </w:r>
          </w:p>
          <w:p w14:paraId="188F9313" w14:textId="4D4E9D8A" w:rsidR="00ED6B91" w:rsidRPr="00AD7333" w:rsidRDefault="00ED6B91" w:rsidP="00AD7333">
            <w:pPr>
              <w:jc w:val="both"/>
              <w:rPr>
                <w:rFonts w:cstheme="minorHAnsi"/>
                <w:sz w:val="22"/>
                <w:szCs w:val="22"/>
              </w:rPr>
            </w:pPr>
          </w:p>
          <w:p w14:paraId="0ADD05DE" w14:textId="77777777" w:rsidR="008C0BAA" w:rsidRPr="00AD7333" w:rsidRDefault="008C0BAA" w:rsidP="00AD7333">
            <w:pPr>
              <w:jc w:val="both"/>
              <w:rPr>
                <w:rFonts w:cstheme="minorHAnsi"/>
                <w:b/>
                <w:bCs/>
                <w:sz w:val="22"/>
                <w:szCs w:val="22"/>
              </w:rPr>
            </w:pPr>
            <w:r w:rsidRPr="00AD7333">
              <w:rPr>
                <w:rFonts w:cstheme="minorHAnsi"/>
                <w:b/>
                <w:bCs/>
                <w:sz w:val="22"/>
                <w:szCs w:val="22"/>
              </w:rPr>
              <w:t>There were no further questions and issues raised by members and following due consideration and deliberation it was unanimously resolved that the Treasury Management Policy 2022/2025 be approved and adopted.</w:t>
            </w:r>
          </w:p>
          <w:p w14:paraId="5BFE9BD6" w14:textId="51AD3F60" w:rsidR="008C0BAA" w:rsidRPr="00AD7333" w:rsidRDefault="008C0BAA" w:rsidP="00AD7333">
            <w:pPr>
              <w:jc w:val="both"/>
              <w:rPr>
                <w:rFonts w:cstheme="minorHAnsi"/>
                <w:sz w:val="22"/>
                <w:szCs w:val="22"/>
              </w:rPr>
            </w:pPr>
          </w:p>
          <w:p w14:paraId="3EABCCD4" w14:textId="77777777" w:rsidR="008C0BAA" w:rsidRPr="00AD7333" w:rsidRDefault="008C0BAA" w:rsidP="00AD7333">
            <w:pPr>
              <w:jc w:val="both"/>
              <w:rPr>
                <w:rFonts w:cstheme="minorHAnsi"/>
                <w:b/>
                <w:bCs/>
                <w:sz w:val="22"/>
                <w:szCs w:val="22"/>
              </w:rPr>
            </w:pPr>
            <w:r w:rsidRPr="00AD7333">
              <w:rPr>
                <w:rFonts w:cstheme="minorHAnsi"/>
                <w:b/>
                <w:bCs/>
                <w:sz w:val="22"/>
                <w:szCs w:val="22"/>
              </w:rPr>
              <w:t>Action:  Chief Finance Officer</w:t>
            </w:r>
          </w:p>
          <w:p w14:paraId="2468F54E" w14:textId="495052BA" w:rsidR="00B152CB" w:rsidRPr="00AD7333" w:rsidRDefault="00B152CB" w:rsidP="00AD7333">
            <w:pPr>
              <w:jc w:val="both"/>
              <w:rPr>
                <w:rFonts w:cstheme="minorHAnsi"/>
                <w:sz w:val="22"/>
                <w:szCs w:val="22"/>
              </w:rPr>
            </w:pPr>
          </w:p>
        </w:tc>
      </w:tr>
      <w:tr w:rsidR="0020685E" w:rsidRPr="00AD7333" w14:paraId="679272DE" w14:textId="77777777" w:rsidTr="00AD7333">
        <w:tc>
          <w:tcPr>
            <w:tcW w:w="767" w:type="pct"/>
          </w:tcPr>
          <w:p w14:paraId="55683E4F" w14:textId="6D818F9D" w:rsidR="0020685E" w:rsidRPr="00AD7333" w:rsidRDefault="0020685E" w:rsidP="00AD7333">
            <w:pPr>
              <w:jc w:val="both"/>
              <w:rPr>
                <w:rFonts w:cstheme="minorHAnsi"/>
                <w:b/>
                <w:sz w:val="22"/>
                <w:szCs w:val="22"/>
              </w:rPr>
            </w:pPr>
            <w:r w:rsidRPr="00AD7333">
              <w:rPr>
                <w:rFonts w:cstheme="minorHAnsi"/>
                <w:b/>
                <w:sz w:val="22"/>
                <w:szCs w:val="22"/>
              </w:rPr>
              <w:t>RES/</w:t>
            </w:r>
            <w:r w:rsidR="002F1537" w:rsidRPr="00AD7333">
              <w:rPr>
                <w:rFonts w:cstheme="minorHAnsi"/>
                <w:b/>
                <w:sz w:val="22"/>
                <w:szCs w:val="22"/>
              </w:rPr>
              <w:t>13</w:t>
            </w:r>
            <w:r w:rsidRPr="00AD7333">
              <w:rPr>
                <w:rFonts w:cstheme="minorHAnsi"/>
                <w:b/>
                <w:sz w:val="22"/>
                <w:szCs w:val="22"/>
              </w:rPr>
              <w:t>/21</w:t>
            </w:r>
          </w:p>
        </w:tc>
        <w:tc>
          <w:tcPr>
            <w:tcW w:w="4233" w:type="pct"/>
          </w:tcPr>
          <w:p w14:paraId="2B1A885C" w14:textId="77777777" w:rsidR="0020685E" w:rsidRPr="00AD7333" w:rsidRDefault="00DB543E" w:rsidP="00AD7333">
            <w:pPr>
              <w:jc w:val="both"/>
              <w:rPr>
                <w:rFonts w:cstheme="minorHAnsi"/>
                <w:b/>
                <w:sz w:val="22"/>
                <w:szCs w:val="22"/>
              </w:rPr>
            </w:pPr>
            <w:r w:rsidRPr="00AD7333">
              <w:rPr>
                <w:rFonts w:cstheme="minorHAnsi"/>
                <w:b/>
                <w:sz w:val="22"/>
                <w:szCs w:val="22"/>
              </w:rPr>
              <w:t>Any Other Business</w:t>
            </w:r>
          </w:p>
          <w:p w14:paraId="494D9366" w14:textId="77777777" w:rsidR="00B152CB" w:rsidRPr="00AD7333" w:rsidRDefault="00B152CB" w:rsidP="00AD7333">
            <w:pPr>
              <w:jc w:val="both"/>
              <w:rPr>
                <w:rFonts w:cstheme="minorHAnsi"/>
                <w:b/>
                <w:sz w:val="22"/>
                <w:szCs w:val="22"/>
              </w:rPr>
            </w:pPr>
          </w:p>
          <w:p w14:paraId="0D9BD506" w14:textId="45DC41C3" w:rsidR="00C1247A" w:rsidRPr="00AD7333" w:rsidRDefault="00C1247A" w:rsidP="00AD7333">
            <w:pPr>
              <w:jc w:val="both"/>
              <w:rPr>
                <w:rFonts w:cstheme="minorHAnsi"/>
                <w:bCs/>
                <w:sz w:val="22"/>
                <w:szCs w:val="22"/>
              </w:rPr>
            </w:pPr>
            <w:r w:rsidRPr="00AD7333">
              <w:rPr>
                <w:rFonts w:cstheme="minorHAnsi"/>
                <w:bCs/>
                <w:sz w:val="22"/>
                <w:szCs w:val="22"/>
              </w:rPr>
              <w:t xml:space="preserve">A comment was made by a member in relation to those students who may be affected by </w:t>
            </w:r>
            <w:r w:rsidR="008C0BAA" w:rsidRPr="00AD7333">
              <w:rPr>
                <w:rFonts w:cstheme="minorHAnsi"/>
                <w:bCs/>
                <w:sz w:val="22"/>
                <w:szCs w:val="22"/>
              </w:rPr>
              <w:t>or</w:t>
            </w:r>
            <w:r w:rsidR="001D2FE0" w:rsidRPr="00AD7333">
              <w:rPr>
                <w:rFonts w:cstheme="minorHAnsi"/>
                <w:bCs/>
                <w:sz w:val="22"/>
                <w:szCs w:val="22"/>
              </w:rPr>
              <w:t xml:space="preserve"> </w:t>
            </w:r>
            <w:r w:rsidRPr="00AD7333">
              <w:rPr>
                <w:rFonts w:cstheme="minorHAnsi"/>
                <w:bCs/>
                <w:sz w:val="22"/>
                <w:szCs w:val="22"/>
              </w:rPr>
              <w:t>have families in the Ukraine and it was asked as to what support the Group was able to offer.</w:t>
            </w:r>
          </w:p>
          <w:p w14:paraId="198D5A89" w14:textId="3631B34F" w:rsidR="00C1247A" w:rsidRPr="00AD7333" w:rsidRDefault="00C1247A" w:rsidP="00AD7333">
            <w:pPr>
              <w:jc w:val="both"/>
              <w:rPr>
                <w:rFonts w:cstheme="minorHAnsi"/>
                <w:bCs/>
                <w:sz w:val="22"/>
                <w:szCs w:val="22"/>
              </w:rPr>
            </w:pPr>
          </w:p>
          <w:p w14:paraId="2BB8AE79" w14:textId="00B10810" w:rsidR="00C1247A" w:rsidRPr="00AD7333" w:rsidRDefault="00C1247A" w:rsidP="00AD7333">
            <w:pPr>
              <w:jc w:val="both"/>
              <w:rPr>
                <w:rFonts w:cstheme="minorHAnsi"/>
                <w:bCs/>
                <w:sz w:val="22"/>
                <w:szCs w:val="22"/>
              </w:rPr>
            </w:pPr>
            <w:r w:rsidRPr="00AD7333">
              <w:rPr>
                <w:rFonts w:cstheme="minorHAnsi"/>
                <w:bCs/>
                <w:sz w:val="22"/>
                <w:szCs w:val="22"/>
              </w:rPr>
              <w:t>The PCEO responded that there was at least one Ukranian student as well as a small number of Russian students currently studying at the Group.  Assurance was provided that guidance had been issued to staff in relation to any anxiety and concerns that their students may have which in the first instance w</w:t>
            </w:r>
            <w:r w:rsidR="001D2FE0" w:rsidRPr="00AD7333">
              <w:rPr>
                <w:rFonts w:cstheme="minorHAnsi"/>
                <w:bCs/>
                <w:sz w:val="22"/>
                <w:szCs w:val="22"/>
              </w:rPr>
              <w:t>ould include</w:t>
            </w:r>
            <w:r w:rsidRPr="00AD7333">
              <w:rPr>
                <w:rFonts w:cstheme="minorHAnsi"/>
                <w:bCs/>
                <w:sz w:val="22"/>
                <w:szCs w:val="22"/>
              </w:rPr>
              <w:t xml:space="preserve"> re</w:t>
            </w:r>
            <w:r w:rsidR="001D2FE0" w:rsidRPr="00AD7333">
              <w:rPr>
                <w:rFonts w:cstheme="minorHAnsi"/>
                <w:bCs/>
                <w:sz w:val="22"/>
                <w:szCs w:val="22"/>
              </w:rPr>
              <w:t xml:space="preserve">ferral to pastoral support.  </w:t>
            </w:r>
            <w:r w:rsidR="001D2FE0" w:rsidRPr="00AD7333">
              <w:rPr>
                <w:rFonts w:cstheme="minorHAnsi"/>
                <w:bCs/>
                <w:sz w:val="22"/>
                <w:szCs w:val="22"/>
              </w:rPr>
              <w:lastRenderedPageBreak/>
              <w:t>The PCEO further emphasised the duty of care the Group had in relation to the welfare of its students.</w:t>
            </w:r>
          </w:p>
          <w:p w14:paraId="51A3D5A5" w14:textId="77777777" w:rsidR="001D2FE0" w:rsidRPr="00AD7333" w:rsidRDefault="001D2FE0" w:rsidP="00AD7333">
            <w:pPr>
              <w:jc w:val="both"/>
              <w:rPr>
                <w:rFonts w:cstheme="minorHAnsi"/>
                <w:bCs/>
                <w:sz w:val="22"/>
                <w:szCs w:val="22"/>
              </w:rPr>
            </w:pPr>
          </w:p>
          <w:p w14:paraId="1B2B4F6B" w14:textId="7CB4844C" w:rsidR="00B152CB" w:rsidRPr="00AD7333" w:rsidRDefault="001D2FE0" w:rsidP="00AD7333">
            <w:pPr>
              <w:jc w:val="both"/>
              <w:rPr>
                <w:rFonts w:cstheme="minorHAnsi"/>
                <w:bCs/>
                <w:sz w:val="22"/>
                <w:szCs w:val="22"/>
              </w:rPr>
            </w:pPr>
            <w:r w:rsidRPr="00AD7333">
              <w:rPr>
                <w:rFonts w:cstheme="minorHAnsi"/>
                <w:sz w:val="22"/>
                <w:szCs w:val="22"/>
              </w:rPr>
              <w:t>There were no further matters raised under any other business.</w:t>
            </w:r>
          </w:p>
        </w:tc>
      </w:tr>
      <w:tr w:rsidR="00DB543E" w:rsidRPr="00AD7333" w14:paraId="5E0AED8E" w14:textId="77777777" w:rsidTr="00AD7333">
        <w:tc>
          <w:tcPr>
            <w:tcW w:w="767" w:type="pct"/>
          </w:tcPr>
          <w:p w14:paraId="3E7ED1C4" w14:textId="2A8CD02B" w:rsidR="00DB543E" w:rsidRPr="00AD7333" w:rsidRDefault="00DB543E" w:rsidP="00AD7333">
            <w:pPr>
              <w:jc w:val="both"/>
              <w:rPr>
                <w:rFonts w:cstheme="minorHAnsi"/>
                <w:b/>
                <w:sz w:val="22"/>
                <w:szCs w:val="22"/>
              </w:rPr>
            </w:pPr>
            <w:r w:rsidRPr="00AD7333">
              <w:rPr>
                <w:rFonts w:cstheme="minorHAnsi"/>
                <w:b/>
                <w:sz w:val="22"/>
                <w:szCs w:val="22"/>
              </w:rPr>
              <w:lastRenderedPageBreak/>
              <w:t>RES/</w:t>
            </w:r>
            <w:r w:rsidR="002F1537" w:rsidRPr="00AD7333">
              <w:rPr>
                <w:rFonts w:cstheme="minorHAnsi"/>
                <w:b/>
                <w:sz w:val="22"/>
                <w:szCs w:val="22"/>
              </w:rPr>
              <w:t>14</w:t>
            </w:r>
            <w:r w:rsidRPr="00AD7333">
              <w:rPr>
                <w:rFonts w:cstheme="minorHAnsi"/>
                <w:b/>
                <w:sz w:val="22"/>
                <w:szCs w:val="22"/>
              </w:rPr>
              <w:t>/21</w:t>
            </w:r>
          </w:p>
        </w:tc>
        <w:tc>
          <w:tcPr>
            <w:tcW w:w="4233" w:type="pct"/>
          </w:tcPr>
          <w:p w14:paraId="03BF4C43" w14:textId="77777777" w:rsidR="00DB543E" w:rsidRPr="00AD7333" w:rsidRDefault="00DB543E" w:rsidP="00AD7333">
            <w:pPr>
              <w:jc w:val="both"/>
              <w:rPr>
                <w:rFonts w:cstheme="minorHAnsi"/>
                <w:b/>
                <w:sz w:val="22"/>
                <w:szCs w:val="22"/>
              </w:rPr>
            </w:pPr>
            <w:r w:rsidRPr="00AD7333">
              <w:rPr>
                <w:rFonts w:cstheme="minorHAnsi"/>
                <w:b/>
                <w:sz w:val="22"/>
                <w:szCs w:val="22"/>
              </w:rPr>
              <w:t>Date of Next Meeting</w:t>
            </w:r>
          </w:p>
          <w:p w14:paraId="22422179" w14:textId="159156E5" w:rsidR="0077100C" w:rsidRPr="00AD7333" w:rsidRDefault="0077100C" w:rsidP="00AD7333">
            <w:pPr>
              <w:jc w:val="both"/>
              <w:rPr>
                <w:rFonts w:cstheme="minorHAnsi"/>
                <w:b/>
                <w:sz w:val="22"/>
                <w:szCs w:val="22"/>
              </w:rPr>
            </w:pPr>
          </w:p>
        </w:tc>
      </w:tr>
      <w:tr w:rsidR="00DB543E" w:rsidRPr="00AD7333" w14:paraId="2F2AA4F2" w14:textId="77777777" w:rsidTr="00AD7333">
        <w:tc>
          <w:tcPr>
            <w:tcW w:w="767" w:type="pct"/>
          </w:tcPr>
          <w:p w14:paraId="26FCC828" w14:textId="77777777" w:rsidR="00DB543E" w:rsidRPr="00AD7333" w:rsidRDefault="00DB543E" w:rsidP="00AD7333">
            <w:pPr>
              <w:jc w:val="both"/>
              <w:rPr>
                <w:rFonts w:cstheme="minorHAnsi"/>
                <w:b/>
                <w:sz w:val="22"/>
                <w:szCs w:val="22"/>
              </w:rPr>
            </w:pPr>
          </w:p>
        </w:tc>
        <w:tc>
          <w:tcPr>
            <w:tcW w:w="4233" w:type="pct"/>
          </w:tcPr>
          <w:p w14:paraId="3E0BAB5B" w14:textId="287C1BFF" w:rsidR="00DB543E" w:rsidRPr="00AD7333" w:rsidRDefault="00DB543E" w:rsidP="00AD7333">
            <w:pPr>
              <w:jc w:val="both"/>
              <w:rPr>
                <w:rFonts w:cstheme="minorHAnsi"/>
                <w:sz w:val="22"/>
                <w:szCs w:val="22"/>
              </w:rPr>
            </w:pPr>
            <w:r w:rsidRPr="00AD7333">
              <w:rPr>
                <w:rFonts w:cstheme="minorHAnsi"/>
                <w:sz w:val="22"/>
                <w:szCs w:val="22"/>
              </w:rPr>
              <w:t>It was agreed that the next Committee meeting would be held on</w:t>
            </w:r>
            <w:r w:rsidR="002872B4" w:rsidRPr="00AD7333">
              <w:rPr>
                <w:rFonts w:cstheme="minorHAnsi"/>
                <w:sz w:val="22"/>
                <w:szCs w:val="22"/>
              </w:rPr>
              <w:t xml:space="preserve"> Tuesday 26</w:t>
            </w:r>
            <w:r w:rsidR="002F1537" w:rsidRPr="00AD7333">
              <w:rPr>
                <w:rFonts w:cstheme="minorHAnsi"/>
                <w:sz w:val="22"/>
                <w:szCs w:val="22"/>
              </w:rPr>
              <w:t xml:space="preserve"> April</w:t>
            </w:r>
            <w:r w:rsidR="002872B4" w:rsidRPr="00AD7333">
              <w:rPr>
                <w:rFonts w:cstheme="minorHAnsi"/>
                <w:sz w:val="22"/>
                <w:szCs w:val="22"/>
              </w:rPr>
              <w:t xml:space="preserve"> 2022</w:t>
            </w:r>
            <w:r w:rsidR="0077100C" w:rsidRPr="00AD7333">
              <w:rPr>
                <w:rFonts w:cstheme="minorHAnsi"/>
                <w:sz w:val="22"/>
                <w:szCs w:val="22"/>
              </w:rPr>
              <w:t xml:space="preserve"> </w:t>
            </w:r>
            <w:r w:rsidRPr="00AD7333">
              <w:rPr>
                <w:rFonts w:cstheme="minorHAnsi"/>
                <w:sz w:val="22"/>
                <w:szCs w:val="22"/>
              </w:rPr>
              <w:t xml:space="preserve">at 5.30pm. </w:t>
            </w:r>
          </w:p>
          <w:p w14:paraId="60B9A1E4" w14:textId="77777777" w:rsidR="00DB543E" w:rsidRPr="00AD7333" w:rsidRDefault="00DB543E" w:rsidP="00AD7333">
            <w:pPr>
              <w:jc w:val="both"/>
              <w:rPr>
                <w:rFonts w:cstheme="minorHAnsi"/>
                <w:sz w:val="22"/>
                <w:szCs w:val="22"/>
              </w:rPr>
            </w:pPr>
          </w:p>
          <w:p w14:paraId="4C848DE1" w14:textId="77777777" w:rsidR="00DB543E" w:rsidRPr="00AD7333" w:rsidRDefault="00DB543E" w:rsidP="00AD7333">
            <w:pPr>
              <w:jc w:val="both"/>
              <w:rPr>
                <w:rFonts w:cstheme="minorHAnsi"/>
                <w:sz w:val="22"/>
                <w:szCs w:val="22"/>
              </w:rPr>
            </w:pPr>
            <w:r w:rsidRPr="00AD7333">
              <w:rPr>
                <w:rFonts w:cstheme="minorHAnsi"/>
                <w:b/>
                <w:sz w:val="22"/>
                <w:szCs w:val="22"/>
              </w:rPr>
              <w:t>Action: Corporation Secretary</w:t>
            </w:r>
            <w:r w:rsidRPr="00AD7333">
              <w:rPr>
                <w:rFonts w:cstheme="minorHAnsi"/>
                <w:sz w:val="22"/>
                <w:szCs w:val="22"/>
              </w:rPr>
              <w:t xml:space="preserve"> </w:t>
            </w:r>
          </w:p>
          <w:p w14:paraId="1443D9B7" w14:textId="77777777" w:rsidR="00DB543E" w:rsidRPr="00AD7333" w:rsidRDefault="00DB543E" w:rsidP="00AD7333">
            <w:pPr>
              <w:jc w:val="both"/>
              <w:rPr>
                <w:rFonts w:cstheme="minorHAnsi"/>
                <w:sz w:val="22"/>
                <w:szCs w:val="22"/>
              </w:rPr>
            </w:pPr>
          </w:p>
          <w:p w14:paraId="33F71973" w14:textId="5C50266A" w:rsidR="00DB543E" w:rsidRPr="00AD7333" w:rsidRDefault="00DB543E" w:rsidP="00AD7333">
            <w:pPr>
              <w:jc w:val="both"/>
              <w:rPr>
                <w:rFonts w:cstheme="minorHAnsi"/>
                <w:sz w:val="22"/>
                <w:szCs w:val="22"/>
              </w:rPr>
            </w:pPr>
            <w:r w:rsidRPr="00AD7333">
              <w:rPr>
                <w:rFonts w:cstheme="minorHAnsi"/>
                <w:sz w:val="22"/>
                <w:szCs w:val="22"/>
              </w:rPr>
              <w:t xml:space="preserve">The meeting closed at </w:t>
            </w:r>
            <w:r w:rsidR="00FE333A" w:rsidRPr="00AD7333">
              <w:rPr>
                <w:rFonts w:cstheme="minorHAnsi"/>
                <w:sz w:val="22"/>
                <w:szCs w:val="22"/>
              </w:rPr>
              <w:t>7.00</w:t>
            </w:r>
            <w:r w:rsidR="002872B4" w:rsidRPr="00AD7333">
              <w:rPr>
                <w:rFonts w:cstheme="minorHAnsi"/>
                <w:sz w:val="22"/>
                <w:szCs w:val="22"/>
              </w:rPr>
              <w:t>pm</w:t>
            </w:r>
          </w:p>
          <w:p w14:paraId="36ACFDB2" w14:textId="77777777" w:rsidR="00DB543E" w:rsidRPr="00AD7333" w:rsidRDefault="00DB543E" w:rsidP="00AD7333">
            <w:pPr>
              <w:ind w:left="360"/>
              <w:jc w:val="both"/>
              <w:rPr>
                <w:rFonts w:cstheme="minorHAnsi"/>
                <w:bCs/>
                <w:sz w:val="22"/>
                <w:szCs w:val="22"/>
              </w:rPr>
            </w:pPr>
          </w:p>
          <w:p w14:paraId="3ED02FF7" w14:textId="52BA06F0" w:rsidR="00EA0F3C" w:rsidRPr="00AD7333" w:rsidRDefault="00EA0F3C" w:rsidP="00AD7333">
            <w:pPr>
              <w:jc w:val="both"/>
              <w:rPr>
                <w:rFonts w:cstheme="minorHAnsi"/>
                <w:bCs/>
                <w:sz w:val="22"/>
                <w:szCs w:val="22"/>
              </w:rPr>
            </w:pPr>
            <w:r w:rsidRPr="00AD7333">
              <w:rPr>
                <w:rFonts w:cstheme="minorHAnsi"/>
                <w:bCs/>
                <w:sz w:val="22"/>
                <w:szCs w:val="22"/>
              </w:rPr>
              <w:t xml:space="preserve">The Director of Human Resources and Performance left the meeting at 6.18pm following consideration of </w:t>
            </w:r>
            <w:r w:rsidR="000F4C1C" w:rsidRPr="00AD7333">
              <w:rPr>
                <w:rFonts w:cstheme="minorHAnsi"/>
                <w:bCs/>
                <w:sz w:val="22"/>
                <w:szCs w:val="22"/>
              </w:rPr>
              <w:t xml:space="preserve">agenda </w:t>
            </w:r>
            <w:r w:rsidRPr="00AD7333">
              <w:rPr>
                <w:rFonts w:cstheme="minorHAnsi"/>
                <w:bCs/>
                <w:sz w:val="22"/>
                <w:szCs w:val="22"/>
              </w:rPr>
              <w:t xml:space="preserve">item </w:t>
            </w:r>
            <w:r w:rsidR="000F4C1C" w:rsidRPr="00AD7333">
              <w:rPr>
                <w:rFonts w:cstheme="minorHAnsi"/>
                <w:bCs/>
                <w:sz w:val="22"/>
                <w:szCs w:val="22"/>
              </w:rPr>
              <w:t>8.</w:t>
            </w:r>
          </w:p>
          <w:p w14:paraId="4A97732F" w14:textId="258D750D" w:rsidR="00EA0F3C" w:rsidRPr="00AD7333" w:rsidRDefault="00EA0F3C" w:rsidP="00AD7333">
            <w:pPr>
              <w:ind w:left="360"/>
              <w:jc w:val="both"/>
              <w:rPr>
                <w:rFonts w:cstheme="minorHAnsi"/>
                <w:bCs/>
                <w:sz w:val="22"/>
                <w:szCs w:val="22"/>
              </w:rPr>
            </w:pPr>
          </w:p>
        </w:tc>
      </w:tr>
    </w:tbl>
    <w:p w14:paraId="4F264C50" w14:textId="77777777" w:rsidR="008F2231" w:rsidRPr="00AD7333" w:rsidRDefault="008F2231" w:rsidP="00AD7333">
      <w:pPr>
        <w:jc w:val="both"/>
        <w:rPr>
          <w:rFonts w:asciiTheme="minorHAnsi" w:hAnsiTheme="minorHAnsi" w:cstheme="minorHAnsi"/>
          <w:sz w:val="20"/>
          <w:szCs w:val="20"/>
        </w:rPr>
      </w:pPr>
    </w:p>
    <w:p w14:paraId="0B4A88B6" w14:textId="77777777" w:rsidR="00A23EAC" w:rsidRPr="00AD7333" w:rsidRDefault="00A23EAC" w:rsidP="00AD7333">
      <w:pPr>
        <w:jc w:val="both"/>
        <w:rPr>
          <w:rFonts w:asciiTheme="minorHAnsi" w:hAnsiTheme="minorHAnsi" w:cstheme="minorHAnsi"/>
          <w:sz w:val="20"/>
          <w:szCs w:val="20"/>
        </w:rPr>
      </w:pPr>
    </w:p>
    <w:p w14:paraId="456B53F5" w14:textId="77777777" w:rsidR="00A23EAC" w:rsidRPr="00AD7333" w:rsidRDefault="00A23EAC" w:rsidP="00AD7333">
      <w:pPr>
        <w:jc w:val="both"/>
        <w:rPr>
          <w:rFonts w:asciiTheme="minorHAnsi" w:hAnsiTheme="minorHAnsi" w:cstheme="minorHAnsi"/>
          <w:sz w:val="20"/>
          <w:szCs w:val="20"/>
        </w:rPr>
      </w:pPr>
    </w:p>
    <w:p w14:paraId="4180AD6E" w14:textId="77777777" w:rsidR="000E09D6" w:rsidRPr="00AD7333" w:rsidRDefault="000E09D6" w:rsidP="00AD7333">
      <w:pPr>
        <w:ind w:left="2160" w:hanging="2160"/>
        <w:jc w:val="both"/>
        <w:rPr>
          <w:rFonts w:asciiTheme="minorHAnsi" w:hAnsiTheme="minorHAnsi" w:cstheme="minorHAnsi"/>
          <w:sz w:val="20"/>
          <w:szCs w:val="20"/>
        </w:rPr>
      </w:pPr>
    </w:p>
    <w:sectPr w:rsidR="000E09D6" w:rsidRPr="00AD7333" w:rsidSect="00AD7333">
      <w:headerReference w:type="even" r:id="rId11"/>
      <w:headerReference w:type="default" r:id="rId12"/>
      <w:footerReference w:type="default" r:id="rId13"/>
      <w:footerReference w:type="first" r:id="rId14"/>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DA7B" w14:textId="77777777" w:rsidR="00114034" w:rsidRDefault="00114034">
      <w:r>
        <w:separator/>
      </w:r>
    </w:p>
  </w:endnote>
  <w:endnote w:type="continuationSeparator" w:id="0">
    <w:p w14:paraId="56BFDD40" w14:textId="77777777" w:rsidR="00114034" w:rsidRDefault="0011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EE70" w14:textId="77777777" w:rsidR="00BA2C80" w:rsidRDefault="00BA2C80" w:rsidP="00D36F9D">
    <w:pPr>
      <w:pStyle w:val="Footer"/>
      <w:rPr>
        <w:rFonts w:ascii="Arial" w:hAnsi="Arial" w:cs="Arial"/>
        <w:sz w:val="16"/>
        <w:szCs w:val="16"/>
      </w:rPr>
    </w:pPr>
  </w:p>
  <w:p w14:paraId="28852E68" w14:textId="728CF52C" w:rsidR="00BA2C80" w:rsidRPr="00D36F9D" w:rsidRDefault="00BA2C80" w:rsidP="00D36F9D">
    <w:pPr>
      <w:pStyle w:val="Footer"/>
      <w:rPr>
        <w:rFonts w:ascii="Arial" w:hAnsi="Arial" w:cs="Arial"/>
        <w:sz w:val="16"/>
        <w:szCs w:val="16"/>
      </w:rPr>
    </w:pPr>
    <w:r>
      <w:rPr>
        <w:rFonts w:ascii="Arial" w:hAnsi="Arial" w:cs="Arial"/>
        <w:sz w:val="16"/>
        <w:szCs w:val="16"/>
      </w:rPr>
      <w:t xml:space="preserve">                                                                                                                                            </w:t>
    </w:r>
  </w:p>
  <w:p w14:paraId="18521EF4" w14:textId="77777777" w:rsidR="00BA2C80" w:rsidRDefault="00BA2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A971" w14:textId="226BDC13" w:rsidR="00BA2C80" w:rsidRPr="00AD7333" w:rsidRDefault="00AD7333" w:rsidP="00AD7333">
    <w:pPr>
      <w:pStyle w:val="Footer"/>
      <w:rPr>
        <w:rFonts w:asciiTheme="minorHAnsi" w:hAnsiTheme="minorHAnsi" w:cstheme="minorHAnsi"/>
        <w:sz w:val="20"/>
        <w:szCs w:val="20"/>
      </w:rPr>
    </w:pPr>
    <w:r w:rsidRPr="00AD7333">
      <w:rPr>
        <w:rFonts w:asciiTheme="minorHAnsi" w:hAnsiTheme="minorHAnsi" w:cstheme="minorHAnsi"/>
        <w:sz w:val="20"/>
        <w:szCs w:val="20"/>
      </w:rPr>
      <w:t>G1.2.5/AD/YR/23.03.22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3216" w14:textId="77777777" w:rsidR="00114034" w:rsidRDefault="00114034">
      <w:r>
        <w:separator/>
      </w:r>
    </w:p>
  </w:footnote>
  <w:footnote w:type="continuationSeparator" w:id="0">
    <w:p w14:paraId="1D9AC0EC" w14:textId="77777777" w:rsidR="00114034" w:rsidRDefault="0011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7338" w14:textId="77777777" w:rsidR="00BA2C80" w:rsidRDefault="00BA2C80" w:rsidP="00797A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FFFA3" w14:textId="77777777" w:rsidR="00BA2C80" w:rsidRDefault="00BA2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B5DF" w14:textId="5E280F95" w:rsidR="00BA2C80" w:rsidRPr="00025D9E" w:rsidRDefault="00BA2C80" w:rsidP="00797AFB">
    <w:pPr>
      <w:pStyle w:val="Header"/>
      <w:framePr w:wrap="around" w:vAnchor="text" w:hAnchor="margin" w:xAlign="center" w:y="1"/>
      <w:rPr>
        <w:rStyle w:val="PageNumber"/>
        <w:rFonts w:ascii="Arial" w:hAnsi="Arial" w:cs="Arial"/>
        <w:sz w:val="16"/>
        <w:szCs w:val="16"/>
      </w:rPr>
    </w:pPr>
    <w:r w:rsidRPr="00025D9E">
      <w:rPr>
        <w:rStyle w:val="PageNumber"/>
        <w:rFonts w:ascii="Arial" w:hAnsi="Arial" w:cs="Arial"/>
        <w:sz w:val="16"/>
        <w:szCs w:val="16"/>
      </w:rPr>
      <w:fldChar w:fldCharType="begin"/>
    </w:r>
    <w:r w:rsidRPr="00025D9E">
      <w:rPr>
        <w:rStyle w:val="PageNumber"/>
        <w:rFonts w:ascii="Arial" w:hAnsi="Arial" w:cs="Arial"/>
        <w:sz w:val="16"/>
        <w:szCs w:val="16"/>
      </w:rPr>
      <w:instrText xml:space="preserve">PAGE  </w:instrText>
    </w:r>
    <w:r w:rsidRPr="00025D9E">
      <w:rPr>
        <w:rStyle w:val="PageNumber"/>
        <w:rFonts w:ascii="Arial" w:hAnsi="Arial" w:cs="Arial"/>
        <w:sz w:val="16"/>
        <w:szCs w:val="16"/>
      </w:rPr>
      <w:fldChar w:fldCharType="separate"/>
    </w:r>
    <w:r>
      <w:rPr>
        <w:rStyle w:val="PageNumber"/>
        <w:rFonts w:ascii="Arial" w:hAnsi="Arial" w:cs="Arial"/>
        <w:noProof/>
        <w:sz w:val="16"/>
        <w:szCs w:val="16"/>
      </w:rPr>
      <w:t>3</w:t>
    </w:r>
    <w:r w:rsidRPr="00025D9E">
      <w:rPr>
        <w:rStyle w:val="PageNumber"/>
        <w:rFonts w:ascii="Arial" w:hAnsi="Arial" w:cs="Arial"/>
        <w:sz w:val="16"/>
        <w:szCs w:val="16"/>
      </w:rPr>
      <w:fldChar w:fldCharType="end"/>
    </w:r>
  </w:p>
  <w:p w14:paraId="27B7DE84" w14:textId="77777777" w:rsidR="00BA2C80" w:rsidRDefault="00BA2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2BA"/>
    <w:multiLevelType w:val="hybridMultilevel"/>
    <w:tmpl w:val="6B10C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9B5993"/>
    <w:multiLevelType w:val="hybridMultilevel"/>
    <w:tmpl w:val="BB262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E07A0C"/>
    <w:multiLevelType w:val="hybridMultilevel"/>
    <w:tmpl w:val="E3946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6296F"/>
    <w:multiLevelType w:val="hybridMultilevel"/>
    <w:tmpl w:val="DDCC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3B53"/>
    <w:multiLevelType w:val="hybridMultilevel"/>
    <w:tmpl w:val="50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A603F"/>
    <w:multiLevelType w:val="hybridMultilevel"/>
    <w:tmpl w:val="45B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42934"/>
    <w:multiLevelType w:val="hybridMultilevel"/>
    <w:tmpl w:val="E81E609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477224E2"/>
    <w:multiLevelType w:val="hybridMultilevel"/>
    <w:tmpl w:val="21CA98B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2B01A8"/>
    <w:multiLevelType w:val="hybridMultilevel"/>
    <w:tmpl w:val="748C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35D0D"/>
    <w:multiLevelType w:val="hybridMultilevel"/>
    <w:tmpl w:val="2EBA0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942AAF"/>
    <w:multiLevelType w:val="hybridMultilevel"/>
    <w:tmpl w:val="7D36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6"/>
  </w:num>
  <w:num w:numId="6">
    <w:abstractNumId w:val="4"/>
  </w:num>
  <w:num w:numId="7">
    <w:abstractNumId w:val="5"/>
  </w:num>
  <w:num w:numId="8">
    <w:abstractNumId w:val="2"/>
  </w:num>
  <w:num w:numId="9">
    <w:abstractNumId w:val="0"/>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93"/>
    <w:rsid w:val="00001481"/>
    <w:rsid w:val="00001672"/>
    <w:rsid w:val="00001D15"/>
    <w:rsid w:val="00004163"/>
    <w:rsid w:val="0000527B"/>
    <w:rsid w:val="00010947"/>
    <w:rsid w:val="00010A28"/>
    <w:rsid w:val="00010B67"/>
    <w:rsid w:val="00011E97"/>
    <w:rsid w:val="00014523"/>
    <w:rsid w:val="00015859"/>
    <w:rsid w:val="000162F0"/>
    <w:rsid w:val="00020EA4"/>
    <w:rsid w:val="000214B1"/>
    <w:rsid w:val="00022F17"/>
    <w:rsid w:val="000234C0"/>
    <w:rsid w:val="00023CE5"/>
    <w:rsid w:val="00024077"/>
    <w:rsid w:val="000244FE"/>
    <w:rsid w:val="0002506D"/>
    <w:rsid w:val="00025390"/>
    <w:rsid w:val="00025D9E"/>
    <w:rsid w:val="000261DC"/>
    <w:rsid w:val="00031887"/>
    <w:rsid w:val="00032E55"/>
    <w:rsid w:val="00033E03"/>
    <w:rsid w:val="00034D5E"/>
    <w:rsid w:val="0003512E"/>
    <w:rsid w:val="000364EB"/>
    <w:rsid w:val="00036749"/>
    <w:rsid w:val="00036FE2"/>
    <w:rsid w:val="00037A29"/>
    <w:rsid w:val="000417F3"/>
    <w:rsid w:val="00042F87"/>
    <w:rsid w:val="00043122"/>
    <w:rsid w:val="00045E9D"/>
    <w:rsid w:val="00046E8C"/>
    <w:rsid w:val="00054AD7"/>
    <w:rsid w:val="0005559E"/>
    <w:rsid w:val="000557E4"/>
    <w:rsid w:val="000559FC"/>
    <w:rsid w:val="000609FB"/>
    <w:rsid w:val="000613D5"/>
    <w:rsid w:val="000617CB"/>
    <w:rsid w:val="000626CE"/>
    <w:rsid w:val="000655B7"/>
    <w:rsid w:val="00067B11"/>
    <w:rsid w:val="00067D52"/>
    <w:rsid w:val="00067D78"/>
    <w:rsid w:val="00073EF3"/>
    <w:rsid w:val="00075839"/>
    <w:rsid w:val="000766E5"/>
    <w:rsid w:val="00076A11"/>
    <w:rsid w:val="00076C13"/>
    <w:rsid w:val="00076FBC"/>
    <w:rsid w:val="00080545"/>
    <w:rsid w:val="00080F2C"/>
    <w:rsid w:val="00082432"/>
    <w:rsid w:val="00084F28"/>
    <w:rsid w:val="00085980"/>
    <w:rsid w:val="00085E74"/>
    <w:rsid w:val="00087AFD"/>
    <w:rsid w:val="000949F1"/>
    <w:rsid w:val="0009605F"/>
    <w:rsid w:val="000963BC"/>
    <w:rsid w:val="000A11CC"/>
    <w:rsid w:val="000A211E"/>
    <w:rsid w:val="000A390C"/>
    <w:rsid w:val="000A3ACB"/>
    <w:rsid w:val="000A41C2"/>
    <w:rsid w:val="000A4B22"/>
    <w:rsid w:val="000A6182"/>
    <w:rsid w:val="000A660B"/>
    <w:rsid w:val="000B00FC"/>
    <w:rsid w:val="000B1AFD"/>
    <w:rsid w:val="000B3B07"/>
    <w:rsid w:val="000B7400"/>
    <w:rsid w:val="000C02ED"/>
    <w:rsid w:val="000C03D4"/>
    <w:rsid w:val="000C234C"/>
    <w:rsid w:val="000C2F87"/>
    <w:rsid w:val="000C5152"/>
    <w:rsid w:val="000C5DAF"/>
    <w:rsid w:val="000C6AC5"/>
    <w:rsid w:val="000C751F"/>
    <w:rsid w:val="000D1473"/>
    <w:rsid w:val="000D16C9"/>
    <w:rsid w:val="000E09D6"/>
    <w:rsid w:val="000E16EA"/>
    <w:rsid w:val="000E1860"/>
    <w:rsid w:val="000E4EB6"/>
    <w:rsid w:val="000E66A3"/>
    <w:rsid w:val="000F1372"/>
    <w:rsid w:val="000F2F92"/>
    <w:rsid w:val="000F3934"/>
    <w:rsid w:val="000F4C1C"/>
    <w:rsid w:val="000F5DCA"/>
    <w:rsid w:val="000F7B43"/>
    <w:rsid w:val="000F7BF3"/>
    <w:rsid w:val="00100F90"/>
    <w:rsid w:val="00101EEC"/>
    <w:rsid w:val="001032F6"/>
    <w:rsid w:val="00103A3D"/>
    <w:rsid w:val="00105C94"/>
    <w:rsid w:val="0010666E"/>
    <w:rsid w:val="0011156A"/>
    <w:rsid w:val="00111936"/>
    <w:rsid w:val="00111AF5"/>
    <w:rsid w:val="00114034"/>
    <w:rsid w:val="0011477C"/>
    <w:rsid w:val="00115A8A"/>
    <w:rsid w:val="00116D3C"/>
    <w:rsid w:val="00120487"/>
    <w:rsid w:val="00121278"/>
    <w:rsid w:val="00123AC3"/>
    <w:rsid w:val="001268A1"/>
    <w:rsid w:val="00130D62"/>
    <w:rsid w:val="00134411"/>
    <w:rsid w:val="0013597C"/>
    <w:rsid w:val="00135EA1"/>
    <w:rsid w:val="00136038"/>
    <w:rsid w:val="001379B9"/>
    <w:rsid w:val="00141933"/>
    <w:rsid w:val="001425B9"/>
    <w:rsid w:val="00143A5B"/>
    <w:rsid w:val="00143B96"/>
    <w:rsid w:val="00144043"/>
    <w:rsid w:val="001457F0"/>
    <w:rsid w:val="001466C2"/>
    <w:rsid w:val="001474A3"/>
    <w:rsid w:val="00147ED3"/>
    <w:rsid w:val="001524F7"/>
    <w:rsid w:val="00153C10"/>
    <w:rsid w:val="00155912"/>
    <w:rsid w:val="00155EEA"/>
    <w:rsid w:val="001561F1"/>
    <w:rsid w:val="00156F85"/>
    <w:rsid w:val="001575E3"/>
    <w:rsid w:val="001613D9"/>
    <w:rsid w:val="00162ADE"/>
    <w:rsid w:val="00162B61"/>
    <w:rsid w:val="001636E5"/>
    <w:rsid w:val="00164A98"/>
    <w:rsid w:val="001660AF"/>
    <w:rsid w:val="00167451"/>
    <w:rsid w:val="00167BE6"/>
    <w:rsid w:val="00172855"/>
    <w:rsid w:val="00172C09"/>
    <w:rsid w:val="00172C3C"/>
    <w:rsid w:val="00173249"/>
    <w:rsid w:val="0017587E"/>
    <w:rsid w:val="001771A7"/>
    <w:rsid w:val="00177714"/>
    <w:rsid w:val="001815DF"/>
    <w:rsid w:val="00181628"/>
    <w:rsid w:val="00183445"/>
    <w:rsid w:val="001839E3"/>
    <w:rsid w:val="001843A5"/>
    <w:rsid w:val="001846B0"/>
    <w:rsid w:val="00184A2D"/>
    <w:rsid w:val="00186B98"/>
    <w:rsid w:val="00187A96"/>
    <w:rsid w:val="0019006D"/>
    <w:rsid w:val="00195F5D"/>
    <w:rsid w:val="00196B67"/>
    <w:rsid w:val="001970BB"/>
    <w:rsid w:val="0019775F"/>
    <w:rsid w:val="001A0000"/>
    <w:rsid w:val="001A3813"/>
    <w:rsid w:val="001A4BE0"/>
    <w:rsid w:val="001A744E"/>
    <w:rsid w:val="001B01E7"/>
    <w:rsid w:val="001B34F6"/>
    <w:rsid w:val="001B3550"/>
    <w:rsid w:val="001B3E04"/>
    <w:rsid w:val="001B69A3"/>
    <w:rsid w:val="001C4FFE"/>
    <w:rsid w:val="001C5EE9"/>
    <w:rsid w:val="001D0319"/>
    <w:rsid w:val="001D2902"/>
    <w:rsid w:val="001D2CBA"/>
    <w:rsid w:val="001D2E4E"/>
    <w:rsid w:val="001D2FE0"/>
    <w:rsid w:val="001D3F86"/>
    <w:rsid w:val="001D7670"/>
    <w:rsid w:val="001D7E98"/>
    <w:rsid w:val="001E09AC"/>
    <w:rsid w:val="001E0CFB"/>
    <w:rsid w:val="001E10BE"/>
    <w:rsid w:val="001E1424"/>
    <w:rsid w:val="001E2C4A"/>
    <w:rsid w:val="001E3F26"/>
    <w:rsid w:val="001E51D1"/>
    <w:rsid w:val="001E5AD0"/>
    <w:rsid w:val="001E64AD"/>
    <w:rsid w:val="001E65E6"/>
    <w:rsid w:val="001E73BD"/>
    <w:rsid w:val="001F0AA2"/>
    <w:rsid w:val="001F3667"/>
    <w:rsid w:val="001F4E7B"/>
    <w:rsid w:val="002026B9"/>
    <w:rsid w:val="00205535"/>
    <w:rsid w:val="002056D3"/>
    <w:rsid w:val="00205934"/>
    <w:rsid w:val="0020685E"/>
    <w:rsid w:val="00207E90"/>
    <w:rsid w:val="002103E8"/>
    <w:rsid w:val="00210B6E"/>
    <w:rsid w:val="0021114F"/>
    <w:rsid w:val="0021283B"/>
    <w:rsid w:val="0021391F"/>
    <w:rsid w:val="00213E8B"/>
    <w:rsid w:val="002157B4"/>
    <w:rsid w:val="00215895"/>
    <w:rsid w:val="002201DA"/>
    <w:rsid w:val="002218C8"/>
    <w:rsid w:val="00222E99"/>
    <w:rsid w:val="00224238"/>
    <w:rsid w:val="0022566C"/>
    <w:rsid w:val="002268C7"/>
    <w:rsid w:val="00227C4E"/>
    <w:rsid w:val="00230A57"/>
    <w:rsid w:val="002337A7"/>
    <w:rsid w:val="00235A32"/>
    <w:rsid w:val="00236457"/>
    <w:rsid w:val="002368EE"/>
    <w:rsid w:val="002401BA"/>
    <w:rsid w:val="00240523"/>
    <w:rsid w:val="00240F62"/>
    <w:rsid w:val="00241B01"/>
    <w:rsid w:val="00241EA5"/>
    <w:rsid w:val="0024220C"/>
    <w:rsid w:val="002439EC"/>
    <w:rsid w:val="00244DCB"/>
    <w:rsid w:val="00244F77"/>
    <w:rsid w:val="002453EB"/>
    <w:rsid w:val="00245FB7"/>
    <w:rsid w:val="0024648C"/>
    <w:rsid w:val="00246EF6"/>
    <w:rsid w:val="002472B7"/>
    <w:rsid w:val="002476B1"/>
    <w:rsid w:val="002522AA"/>
    <w:rsid w:val="002542D7"/>
    <w:rsid w:val="0025452D"/>
    <w:rsid w:val="00260E8E"/>
    <w:rsid w:val="00260EB3"/>
    <w:rsid w:val="00263A8B"/>
    <w:rsid w:val="00263F9E"/>
    <w:rsid w:val="00266E41"/>
    <w:rsid w:val="00270C8B"/>
    <w:rsid w:val="00271696"/>
    <w:rsid w:val="002724CD"/>
    <w:rsid w:val="0027263C"/>
    <w:rsid w:val="0027358A"/>
    <w:rsid w:val="00273619"/>
    <w:rsid w:val="002739DF"/>
    <w:rsid w:val="002754D1"/>
    <w:rsid w:val="00275D9A"/>
    <w:rsid w:val="002767DC"/>
    <w:rsid w:val="002767E4"/>
    <w:rsid w:val="002775B5"/>
    <w:rsid w:val="00282377"/>
    <w:rsid w:val="00283A45"/>
    <w:rsid w:val="00285ABC"/>
    <w:rsid w:val="0028658B"/>
    <w:rsid w:val="002872B4"/>
    <w:rsid w:val="002908F6"/>
    <w:rsid w:val="00294850"/>
    <w:rsid w:val="002961E2"/>
    <w:rsid w:val="0029786A"/>
    <w:rsid w:val="00297D3B"/>
    <w:rsid w:val="002A0218"/>
    <w:rsid w:val="002A08D2"/>
    <w:rsid w:val="002A0BDA"/>
    <w:rsid w:val="002A1F3C"/>
    <w:rsid w:val="002A2375"/>
    <w:rsid w:val="002A26E6"/>
    <w:rsid w:val="002A362A"/>
    <w:rsid w:val="002A476C"/>
    <w:rsid w:val="002A4FF0"/>
    <w:rsid w:val="002A6174"/>
    <w:rsid w:val="002A6F4C"/>
    <w:rsid w:val="002A7BA9"/>
    <w:rsid w:val="002B0C5D"/>
    <w:rsid w:val="002B1EB7"/>
    <w:rsid w:val="002B2C99"/>
    <w:rsid w:val="002B3031"/>
    <w:rsid w:val="002B444D"/>
    <w:rsid w:val="002B7795"/>
    <w:rsid w:val="002C0C3A"/>
    <w:rsid w:val="002C123F"/>
    <w:rsid w:val="002C3BC5"/>
    <w:rsid w:val="002C579A"/>
    <w:rsid w:val="002C57F7"/>
    <w:rsid w:val="002D0D07"/>
    <w:rsid w:val="002D25EC"/>
    <w:rsid w:val="002D2FB4"/>
    <w:rsid w:val="002D4C08"/>
    <w:rsid w:val="002D7947"/>
    <w:rsid w:val="002E1931"/>
    <w:rsid w:val="002E21F6"/>
    <w:rsid w:val="002E393E"/>
    <w:rsid w:val="002E6AA5"/>
    <w:rsid w:val="002F1537"/>
    <w:rsid w:val="002F1865"/>
    <w:rsid w:val="002F19C9"/>
    <w:rsid w:val="002F1A43"/>
    <w:rsid w:val="002F2A17"/>
    <w:rsid w:val="002F3D04"/>
    <w:rsid w:val="002F4142"/>
    <w:rsid w:val="003009DC"/>
    <w:rsid w:val="00301B34"/>
    <w:rsid w:val="003032ED"/>
    <w:rsid w:val="003039F4"/>
    <w:rsid w:val="00303FA4"/>
    <w:rsid w:val="003042F7"/>
    <w:rsid w:val="0030713E"/>
    <w:rsid w:val="00310B38"/>
    <w:rsid w:val="00311AC8"/>
    <w:rsid w:val="00312B2A"/>
    <w:rsid w:val="00313299"/>
    <w:rsid w:val="003135AE"/>
    <w:rsid w:val="00314699"/>
    <w:rsid w:val="00315398"/>
    <w:rsid w:val="003202F6"/>
    <w:rsid w:val="003207D5"/>
    <w:rsid w:val="00320B30"/>
    <w:rsid w:val="0032201B"/>
    <w:rsid w:val="00322CB9"/>
    <w:rsid w:val="003252B8"/>
    <w:rsid w:val="00325495"/>
    <w:rsid w:val="00326CA6"/>
    <w:rsid w:val="00327700"/>
    <w:rsid w:val="0033595F"/>
    <w:rsid w:val="003366CA"/>
    <w:rsid w:val="00336AB2"/>
    <w:rsid w:val="00336F87"/>
    <w:rsid w:val="0033771D"/>
    <w:rsid w:val="00337B9B"/>
    <w:rsid w:val="003408E4"/>
    <w:rsid w:val="00340908"/>
    <w:rsid w:val="003412B9"/>
    <w:rsid w:val="00345624"/>
    <w:rsid w:val="00347BEA"/>
    <w:rsid w:val="003501A5"/>
    <w:rsid w:val="00351271"/>
    <w:rsid w:val="00353F1B"/>
    <w:rsid w:val="0035400D"/>
    <w:rsid w:val="00354197"/>
    <w:rsid w:val="00354F3B"/>
    <w:rsid w:val="00355D62"/>
    <w:rsid w:val="0035766E"/>
    <w:rsid w:val="003578BC"/>
    <w:rsid w:val="00366D77"/>
    <w:rsid w:val="003676E8"/>
    <w:rsid w:val="003735BD"/>
    <w:rsid w:val="00374332"/>
    <w:rsid w:val="00375834"/>
    <w:rsid w:val="00375CBB"/>
    <w:rsid w:val="00375E4D"/>
    <w:rsid w:val="0037638F"/>
    <w:rsid w:val="00377149"/>
    <w:rsid w:val="003801EA"/>
    <w:rsid w:val="00380C06"/>
    <w:rsid w:val="00381481"/>
    <w:rsid w:val="00381B2F"/>
    <w:rsid w:val="00382572"/>
    <w:rsid w:val="0038270E"/>
    <w:rsid w:val="003828BB"/>
    <w:rsid w:val="00383C9D"/>
    <w:rsid w:val="00383CF6"/>
    <w:rsid w:val="003859A4"/>
    <w:rsid w:val="003860A0"/>
    <w:rsid w:val="003878F2"/>
    <w:rsid w:val="003923F0"/>
    <w:rsid w:val="0039362A"/>
    <w:rsid w:val="0039491C"/>
    <w:rsid w:val="003A2378"/>
    <w:rsid w:val="003A3778"/>
    <w:rsid w:val="003A5A97"/>
    <w:rsid w:val="003A646F"/>
    <w:rsid w:val="003A6592"/>
    <w:rsid w:val="003A7586"/>
    <w:rsid w:val="003B2E98"/>
    <w:rsid w:val="003B2EF5"/>
    <w:rsid w:val="003B33E1"/>
    <w:rsid w:val="003C1A2C"/>
    <w:rsid w:val="003C23B7"/>
    <w:rsid w:val="003C23F1"/>
    <w:rsid w:val="003C35C9"/>
    <w:rsid w:val="003C4670"/>
    <w:rsid w:val="003C54CC"/>
    <w:rsid w:val="003C54DE"/>
    <w:rsid w:val="003C595E"/>
    <w:rsid w:val="003D0253"/>
    <w:rsid w:val="003D1639"/>
    <w:rsid w:val="003D16EA"/>
    <w:rsid w:val="003D6775"/>
    <w:rsid w:val="003E1640"/>
    <w:rsid w:val="003E2DEC"/>
    <w:rsid w:val="003E492E"/>
    <w:rsid w:val="003E5F1E"/>
    <w:rsid w:val="003E7134"/>
    <w:rsid w:val="003E7AFA"/>
    <w:rsid w:val="003F0383"/>
    <w:rsid w:val="003F19DA"/>
    <w:rsid w:val="003F28BD"/>
    <w:rsid w:val="003F3DF2"/>
    <w:rsid w:val="00400101"/>
    <w:rsid w:val="0040173A"/>
    <w:rsid w:val="00402865"/>
    <w:rsid w:val="004042C7"/>
    <w:rsid w:val="00404378"/>
    <w:rsid w:val="00405D4C"/>
    <w:rsid w:val="004066E2"/>
    <w:rsid w:val="00406CFB"/>
    <w:rsid w:val="00406FC6"/>
    <w:rsid w:val="00411FC1"/>
    <w:rsid w:val="00414890"/>
    <w:rsid w:val="004159C2"/>
    <w:rsid w:val="004160CC"/>
    <w:rsid w:val="004207C2"/>
    <w:rsid w:val="0042270D"/>
    <w:rsid w:val="00423990"/>
    <w:rsid w:val="00423A95"/>
    <w:rsid w:val="00427FE4"/>
    <w:rsid w:val="00430AB4"/>
    <w:rsid w:val="00430C05"/>
    <w:rsid w:val="00431F5D"/>
    <w:rsid w:val="004324B4"/>
    <w:rsid w:val="0043351D"/>
    <w:rsid w:val="00435DE3"/>
    <w:rsid w:val="00435EC6"/>
    <w:rsid w:val="00440BFF"/>
    <w:rsid w:val="00440D96"/>
    <w:rsid w:val="004418F6"/>
    <w:rsid w:val="0044200C"/>
    <w:rsid w:val="00444127"/>
    <w:rsid w:val="00444156"/>
    <w:rsid w:val="00444157"/>
    <w:rsid w:val="00446050"/>
    <w:rsid w:val="00446696"/>
    <w:rsid w:val="00446C8C"/>
    <w:rsid w:val="00452536"/>
    <w:rsid w:val="00455921"/>
    <w:rsid w:val="004578A6"/>
    <w:rsid w:val="0046076B"/>
    <w:rsid w:val="004612C5"/>
    <w:rsid w:val="0046388C"/>
    <w:rsid w:val="00470BF7"/>
    <w:rsid w:val="004716E3"/>
    <w:rsid w:val="00471F17"/>
    <w:rsid w:val="00472450"/>
    <w:rsid w:val="00474824"/>
    <w:rsid w:val="00474FFF"/>
    <w:rsid w:val="0047572A"/>
    <w:rsid w:val="0047574C"/>
    <w:rsid w:val="004758E2"/>
    <w:rsid w:val="00475BBB"/>
    <w:rsid w:val="004760BC"/>
    <w:rsid w:val="004768F3"/>
    <w:rsid w:val="00476A1A"/>
    <w:rsid w:val="004770A5"/>
    <w:rsid w:val="00477AC2"/>
    <w:rsid w:val="004811D5"/>
    <w:rsid w:val="00481633"/>
    <w:rsid w:val="0048192B"/>
    <w:rsid w:val="00483AFA"/>
    <w:rsid w:val="004843B3"/>
    <w:rsid w:val="00484AC0"/>
    <w:rsid w:val="0048639D"/>
    <w:rsid w:val="00487A96"/>
    <w:rsid w:val="00487F84"/>
    <w:rsid w:val="00490BB8"/>
    <w:rsid w:val="00490DDE"/>
    <w:rsid w:val="00490E91"/>
    <w:rsid w:val="00491B4B"/>
    <w:rsid w:val="0049348A"/>
    <w:rsid w:val="00494681"/>
    <w:rsid w:val="004947C0"/>
    <w:rsid w:val="00495015"/>
    <w:rsid w:val="00495EAA"/>
    <w:rsid w:val="004964BF"/>
    <w:rsid w:val="004965A9"/>
    <w:rsid w:val="00497E40"/>
    <w:rsid w:val="004A0728"/>
    <w:rsid w:val="004A25FF"/>
    <w:rsid w:val="004A3455"/>
    <w:rsid w:val="004A3634"/>
    <w:rsid w:val="004A3B8A"/>
    <w:rsid w:val="004A3F27"/>
    <w:rsid w:val="004A5979"/>
    <w:rsid w:val="004A765F"/>
    <w:rsid w:val="004A7EF2"/>
    <w:rsid w:val="004B0AE4"/>
    <w:rsid w:val="004B2278"/>
    <w:rsid w:val="004B2DBA"/>
    <w:rsid w:val="004B3CBE"/>
    <w:rsid w:val="004B42BC"/>
    <w:rsid w:val="004B4614"/>
    <w:rsid w:val="004B561B"/>
    <w:rsid w:val="004B5BE9"/>
    <w:rsid w:val="004B6877"/>
    <w:rsid w:val="004B6FF5"/>
    <w:rsid w:val="004C2F93"/>
    <w:rsid w:val="004C5C8B"/>
    <w:rsid w:val="004C608D"/>
    <w:rsid w:val="004C7347"/>
    <w:rsid w:val="004D220F"/>
    <w:rsid w:val="004D22F7"/>
    <w:rsid w:val="004D2B5C"/>
    <w:rsid w:val="004D2D38"/>
    <w:rsid w:val="004D3A0A"/>
    <w:rsid w:val="004D46B7"/>
    <w:rsid w:val="004D5BBD"/>
    <w:rsid w:val="004D5E0E"/>
    <w:rsid w:val="004D7B0C"/>
    <w:rsid w:val="004E1931"/>
    <w:rsid w:val="004E1BCF"/>
    <w:rsid w:val="004E20CA"/>
    <w:rsid w:val="004E2922"/>
    <w:rsid w:val="004E3E73"/>
    <w:rsid w:val="004E48DE"/>
    <w:rsid w:val="004E5931"/>
    <w:rsid w:val="004E5F4C"/>
    <w:rsid w:val="004E6620"/>
    <w:rsid w:val="004E68C9"/>
    <w:rsid w:val="004E6B03"/>
    <w:rsid w:val="004E718B"/>
    <w:rsid w:val="004E71C9"/>
    <w:rsid w:val="004F14C3"/>
    <w:rsid w:val="004F211B"/>
    <w:rsid w:val="004F379B"/>
    <w:rsid w:val="004F4BCB"/>
    <w:rsid w:val="004F5EE2"/>
    <w:rsid w:val="004F7375"/>
    <w:rsid w:val="00501BDF"/>
    <w:rsid w:val="00502218"/>
    <w:rsid w:val="005028E4"/>
    <w:rsid w:val="005040F9"/>
    <w:rsid w:val="00504171"/>
    <w:rsid w:val="00505C82"/>
    <w:rsid w:val="005106A9"/>
    <w:rsid w:val="00511F42"/>
    <w:rsid w:val="005126CC"/>
    <w:rsid w:val="00512BCB"/>
    <w:rsid w:val="00513723"/>
    <w:rsid w:val="00513ACC"/>
    <w:rsid w:val="00514501"/>
    <w:rsid w:val="005145B3"/>
    <w:rsid w:val="00515420"/>
    <w:rsid w:val="00516ACC"/>
    <w:rsid w:val="005174C8"/>
    <w:rsid w:val="005232DC"/>
    <w:rsid w:val="00523470"/>
    <w:rsid w:val="0052357C"/>
    <w:rsid w:val="005256C2"/>
    <w:rsid w:val="005256F7"/>
    <w:rsid w:val="00527FA3"/>
    <w:rsid w:val="005319F7"/>
    <w:rsid w:val="005335AC"/>
    <w:rsid w:val="0053495A"/>
    <w:rsid w:val="0053562F"/>
    <w:rsid w:val="00537041"/>
    <w:rsid w:val="005402EB"/>
    <w:rsid w:val="0054063A"/>
    <w:rsid w:val="00542641"/>
    <w:rsid w:val="00543727"/>
    <w:rsid w:val="0054410C"/>
    <w:rsid w:val="0054778F"/>
    <w:rsid w:val="00547FDF"/>
    <w:rsid w:val="00550074"/>
    <w:rsid w:val="00552567"/>
    <w:rsid w:val="0055383D"/>
    <w:rsid w:val="0055385D"/>
    <w:rsid w:val="0055394A"/>
    <w:rsid w:val="00556779"/>
    <w:rsid w:val="005575B5"/>
    <w:rsid w:val="005642B2"/>
    <w:rsid w:val="0056451C"/>
    <w:rsid w:val="00570887"/>
    <w:rsid w:val="00570E0B"/>
    <w:rsid w:val="00571296"/>
    <w:rsid w:val="005712A0"/>
    <w:rsid w:val="0057193E"/>
    <w:rsid w:val="00573308"/>
    <w:rsid w:val="00573FE4"/>
    <w:rsid w:val="00576178"/>
    <w:rsid w:val="00576CA5"/>
    <w:rsid w:val="00581CBE"/>
    <w:rsid w:val="00582406"/>
    <w:rsid w:val="0058254E"/>
    <w:rsid w:val="0058391C"/>
    <w:rsid w:val="0058589F"/>
    <w:rsid w:val="00585C99"/>
    <w:rsid w:val="00586632"/>
    <w:rsid w:val="005872DC"/>
    <w:rsid w:val="005906C3"/>
    <w:rsid w:val="00591F73"/>
    <w:rsid w:val="005924C6"/>
    <w:rsid w:val="00594157"/>
    <w:rsid w:val="00595D49"/>
    <w:rsid w:val="00597C54"/>
    <w:rsid w:val="00597C68"/>
    <w:rsid w:val="00597F45"/>
    <w:rsid w:val="005A049F"/>
    <w:rsid w:val="005A07F6"/>
    <w:rsid w:val="005A2380"/>
    <w:rsid w:val="005A2C74"/>
    <w:rsid w:val="005A3082"/>
    <w:rsid w:val="005A36FE"/>
    <w:rsid w:val="005A553C"/>
    <w:rsid w:val="005B00B1"/>
    <w:rsid w:val="005B06F9"/>
    <w:rsid w:val="005B1F0E"/>
    <w:rsid w:val="005B1FB6"/>
    <w:rsid w:val="005B4A3B"/>
    <w:rsid w:val="005B5999"/>
    <w:rsid w:val="005C06ED"/>
    <w:rsid w:val="005C4EAF"/>
    <w:rsid w:val="005C65CF"/>
    <w:rsid w:val="005C7D4D"/>
    <w:rsid w:val="005D133F"/>
    <w:rsid w:val="005D28B2"/>
    <w:rsid w:val="005D3505"/>
    <w:rsid w:val="005D3571"/>
    <w:rsid w:val="005D4222"/>
    <w:rsid w:val="005D46AF"/>
    <w:rsid w:val="005D46D6"/>
    <w:rsid w:val="005D69BB"/>
    <w:rsid w:val="005E295D"/>
    <w:rsid w:val="005E366C"/>
    <w:rsid w:val="005E442D"/>
    <w:rsid w:val="005E67E2"/>
    <w:rsid w:val="005E6BA9"/>
    <w:rsid w:val="005F2079"/>
    <w:rsid w:val="005F3A0C"/>
    <w:rsid w:val="005F45BA"/>
    <w:rsid w:val="005F4825"/>
    <w:rsid w:val="006000AB"/>
    <w:rsid w:val="0060125B"/>
    <w:rsid w:val="0060551C"/>
    <w:rsid w:val="006062C7"/>
    <w:rsid w:val="0060655D"/>
    <w:rsid w:val="00606CD6"/>
    <w:rsid w:val="00607D73"/>
    <w:rsid w:val="0061372A"/>
    <w:rsid w:val="0061454B"/>
    <w:rsid w:val="006160B3"/>
    <w:rsid w:val="0061683F"/>
    <w:rsid w:val="00616B2F"/>
    <w:rsid w:val="00617052"/>
    <w:rsid w:val="006203D4"/>
    <w:rsid w:val="00622247"/>
    <w:rsid w:val="00622569"/>
    <w:rsid w:val="00622C2E"/>
    <w:rsid w:val="0062312A"/>
    <w:rsid w:val="0062325B"/>
    <w:rsid w:val="00623946"/>
    <w:rsid w:val="00623ED1"/>
    <w:rsid w:val="00624E37"/>
    <w:rsid w:val="00625972"/>
    <w:rsid w:val="00625A25"/>
    <w:rsid w:val="00626BDB"/>
    <w:rsid w:val="00626DA9"/>
    <w:rsid w:val="006273E9"/>
    <w:rsid w:val="00630287"/>
    <w:rsid w:val="00637A8C"/>
    <w:rsid w:val="00640A97"/>
    <w:rsid w:val="006412DF"/>
    <w:rsid w:val="00641FCD"/>
    <w:rsid w:val="006426A5"/>
    <w:rsid w:val="00643390"/>
    <w:rsid w:val="006446F0"/>
    <w:rsid w:val="00646698"/>
    <w:rsid w:val="006468A6"/>
    <w:rsid w:val="00656AF6"/>
    <w:rsid w:val="00657F88"/>
    <w:rsid w:val="00661C9C"/>
    <w:rsid w:val="00661DA6"/>
    <w:rsid w:val="00662AEE"/>
    <w:rsid w:val="0066382E"/>
    <w:rsid w:val="006642B7"/>
    <w:rsid w:val="00664617"/>
    <w:rsid w:val="00666ADF"/>
    <w:rsid w:val="006676C3"/>
    <w:rsid w:val="00667883"/>
    <w:rsid w:val="006708B8"/>
    <w:rsid w:val="00670B3A"/>
    <w:rsid w:val="00673B52"/>
    <w:rsid w:val="00674C3E"/>
    <w:rsid w:val="00674C87"/>
    <w:rsid w:val="00677EFF"/>
    <w:rsid w:val="00680193"/>
    <w:rsid w:val="006803D7"/>
    <w:rsid w:val="00682760"/>
    <w:rsid w:val="00682852"/>
    <w:rsid w:val="00684AA4"/>
    <w:rsid w:val="006856D0"/>
    <w:rsid w:val="00686D21"/>
    <w:rsid w:val="00691856"/>
    <w:rsid w:val="006923BB"/>
    <w:rsid w:val="00694E18"/>
    <w:rsid w:val="00695627"/>
    <w:rsid w:val="006963B3"/>
    <w:rsid w:val="00696BA2"/>
    <w:rsid w:val="006A10F1"/>
    <w:rsid w:val="006A18F4"/>
    <w:rsid w:val="006A377C"/>
    <w:rsid w:val="006A3847"/>
    <w:rsid w:val="006A4B35"/>
    <w:rsid w:val="006A5116"/>
    <w:rsid w:val="006A5478"/>
    <w:rsid w:val="006A635D"/>
    <w:rsid w:val="006A788C"/>
    <w:rsid w:val="006B0DDC"/>
    <w:rsid w:val="006B3DF7"/>
    <w:rsid w:val="006B78E8"/>
    <w:rsid w:val="006B7BB8"/>
    <w:rsid w:val="006C0FCE"/>
    <w:rsid w:val="006C3517"/>
    <w:rsid w:val="006C35BD"/>
    <w:rsid w:val="006C3A86"/>
    <w:rsid w:val="006C6585"/>
    <w:rsid w:val="006D0F27"/>
    <w:rsid w:val="006D2B67"/>
    <w:rsid w:val="006D2D48"/>
    <w:rsid w:val="006D3E7A"/>
    <w:rsid w:val="006D6798"/>
    <w:rsid w:val="006D6F54"/>
    <w:rsid w:val="006D703A"/>
    <w:rsid w:val="006D73FD"/>
    <w:rsid w:val="006E3C95"/>
    <w:rsid w:val="006E407E"/>
    <w:rsid w:val="006E4D53"/>
    <w:rsid w:val="006E5302"/>
    <w:rsid w:val="006F115A"/>
    <w:rsid w:val="006F26B9"/>
    <w:rsid w:val="006F2FB1"/>
    <w:rsid w:val="006F3142"/>
    <w:rsid w:val="006F4413"/>
    <w:rsid w:val="006F4B65"/>
    <w:rsid w:val="006F6993"/>
    <w:rsid w:val="006F780F"/>
    <w:rsid w:val="00701692"/>
    <w:rsid w:val="0070208C"/>
    <w:rsid w:val="00703735"/>
    <w:rsid w:val="0070379C"/>
    <w:rsid w:val="00704EDB"/>
    <w:rsid w:val="007052DB"/>
    <w:rsid w:val="00705D2E"/>
    <w:rsid w:val="007061B1"/>
    <w:rsid w:val="007147F5"/>
    <w:rsid w:val="00715D54"/>
    <w:rsid w:val="00716141"/>
    <w:rsid w:val="00722D69"/>
    <w:rsid w:val="00724231"/>
    <w:rsid w:val="007255A2"/>
    <w:rsid w:val="007260C5"/>
    <w:rsid w:val="0072687A"/>
    <w:rsid w:val="0072734E"/>
    <w:rsid w:val="00730AA3"/>
    <w:rsid w:val="00731682"/>
    <w:rsid w:val="00731B7A"/>
    <w:rsid w:val="00732C29"/>
    <w:rsid w:val="00734CE2"/>
    <w:rsid w:val="00736129"/>
    <w:rsid w:val="00740043"/>
    <w:rsid w:val="00742904"/>
    <w:rsid w:val="00743088"/>
    <w:rsid w:val="007456E2"/>
    <w:rsid w:val="00745F68"/>
    <w:rsid w:val="00747E3B"/>
    <w:rsid w:val="00750360"/>
    <w:rsid w:val="00750835"/>
    <w:rsid w:val="00752477"/>
    <w:rsid w:val="0075312E"/>
    <w:rsid w:val="00757155"/>
    <w:rsid w:val="00757BAC"/>
    <w:rsid w:val="00760FC3"/>
    <w:rsid w:val="007629BE"/>
    <w:rsid w:val="0076364D"/>
    <w:rsid w:val="007655F6"/>
    <w:rsid w:val="00767145"/>
    <w:rsid w:val="0076717E"/>
    <w:rsid w:val="007672FB"/>
    <w:rsid w:val="0077100C"/>
    <w:rsid w:val="0077131D"/>
    <w:rsid w:val="00773CC0"/>
    <w:rsid w:val="00775B72"/>
    <w:rsid w:val="00775FD6"/>
    <w:rsid w:val="007777A7"/>
    <w:rsid w:val="00780FEB"/>
    <w:rsid w:val="007812E4"/>
    <w:rsid w:val="00781419"/>
    <w:rsid w:val="00781B2A"/>
    <w:rsid w:val="00782875"/>
    <w:rsid w:val="00785D55"/>
    <w:rsid w:val="00785ED9"/>
    <w:rsid w:val="00787AA2"/>
    <w:rsid w:val="00787F70"/>
    <w:rsid w:val="007919D7"/>
    <w:rsid w:val="00792F17"/>
    <w:rsid w:val="00794299"/>
    <w:rsid w:val="00795587"/>
    <w:rsid w:val="00796089"/>
    <w:rsid w:val="0079632E"/>
    <w:rsid w:val="00797AFB"/>
    <w:rsid w:val="007A09BF"/>
    <w:rsid w:val="007A2E20"/>
    <w:rsid w:val="007A334F"/>
    <w:rsid w:val="007A392F"/>
    <w:rsid w:val="007A4784"/>
    <w:rsid w:val="007A4C89"/>
    <w:rsid w:val="007A57BF"/>
    <w:rsid w:val="007A60F5"/>
    <w:rsid w:val="007A61D8"/>
    <w:rsid w:val="007A77BA"/>
    <w:rsid w:val="007A77E1"/>
    <w:rsid w:val="007A7E41"/>
    <w:rsid w:val="007B2536"/>
    <w:rsid w:val="007B48E9"/>
    <w:rsid w:val="007B5165"/>
    <w:rsid w:val="007B5250"/>
    <w:rsid w:val="007B5E8C"/>
    <w:rsid w:val="007B6AEC"/>
    <w:rsid w:val="007C0A54"/>
    <w:rsid w:val="007C0EB4"/>
    <w:rsid w:val="007C1553"/>
    <w:rsid w:val="007C2137"/>
    <w:rsid w:val="007C26D1"/>
    <w:rsid w:val="007C50AF"/>
    <w:rsid w:val="007C5318"/>
    <w:rsid w:val="007C64AB"/>
    <w:rsid w:val="007C73F6"/>
    <w:rsid w:val="007D05F8"/>
    <w:rsid w:val="007D11B0"/>
    <w:rsid w:val="007D2E86"/>
    <w:rsid w:val="007E0763"/>
    <w:rsid w:val="007E0AC8"/>
    <w:rsid w:val="007E209D"/>
    <w:rsid w:val="007E252D"/>
    <w:rsid w:val="007E29D6"/>
    <w:rsid w:val="007E2B56"/>
    <w:rsid w:val="007E5AB3"/>
    <w:rsid w:val="007E6513"/>
    <w:rsid w:val="007E7CDB"/>
    <w:rsid w:val="007F0966"/>
    <w:rsid w:val="007F119C"/>
    <w:rsid w:val="007F2E0E"/>
    <w:rsid w:val="007F461A"/>
    <w:rsid w:val="007F5AF5"/>
    <w:rsid w:val="007F5F18"/>
    <w:rsid w:val="007F6286"/>
    <w:rsid w:val="007F6890"/>
    <w:rsid w:val="008004F6"/>
    <w:rsid w:val="00800D45"/>
    <w:rsid w:val="00801077"/>
    <w:rsid w:val="00802216"/>
    <w:rsid w:val="00803FED"/>
    <w:rsid w:val="0080594E"/>
    <w:rsid w:val="0080638C"/>
    <w:rsid w:val="00806C3D"/>
    <w:rsid w:val="00811FD5"/>
    <w:rsid w:val="00814064"/>
    <w:rsid w:val="00814411"/>
    <w:rsid w:val="00814B5D"/>
    <w:rsid w:val="0081553C"/>
    <w:rsid w:val="008159BE"/>
    <w:rsid w:val="00815B9F"/>
    <w:rsid w:val="00820DB0"/>
    <w:rsid w:val="00822041"/>
    <w:rsid w:val="008235E6"/>
    <w:rsid w:val="00824760"/>
    <w:rsid w:val="008252E6"/>
    <w:rsid w:val="0082667A"/>
    <w:rsid w:val="00827780"/>
    <w:rsid w:val="00827BA7"/>
    <w:rsid w:val="008317C6"/>
    <w:rsid w:val="00832347"/>
    <w:rsid w:val="008335FC"/>
    <w:rsid w:val="008359DD"/>
    <w:rsid w:val="00835D3E"/>
    <w:rsid w:val="00840AD5"/>
    <w:rsid w:val="00840B98"/>
    <w:rsid w:val="008410BE"/>
    <w:rsid w:val="0084146B"/>
    <w:rsid w:val="00843FF3"/>
    <w:rsid w:val="008503DE"/>
    <w:rsid w:val="008511FB"/>
    <w:rsid w:val="00851E27"/>
    <w:rsid w:val="00853530"/>
    <w:rsid w:val="00855B58"/>
    <w:rsid w:val="008576EF"/>
    <w:rsid w:val="0086083E"/>
    <w:rsid w:val="00861886"/>
    <w:rsid w:val="00861D93"/>
    <w:rsid w:val="008632DE"/>
    <w:rsid w:val="008635B1"/>
    <w:rsid w:val="00863E84"/>
    <w:rsid w:val="008655A3"/>
    <w:rsid w:val="008674DD"/>
    <w:rsid w:val="00867579"/>
    <w:rsid w:val="008715AC"/>
    <w:rsid w:val="008735CE"/>
    <w:rsid w:val="00874B75"/>
    <w:rsid w:val="0087529F"/>
    <w:rsid w:val="00875A29"/>
    <w:rsid w:val="00876D3B"/>
    <w:rsid w:val="00877A73"/>
    <w:rsid w:val="008806E1"/>
    <w:rsid w:val="0088162B"/>
    <w:rsid w:val="0088174B"/>
    <w:rsid w:val="008828C6"/>
    <w:rsid w:val="0088383A"/>
    <w:rsid w:val="00883CF2"/>
    <w:rsid w:val="0089008F"/>
    <w:rsid w:val="00890E3C"/>
    <w:rsid w:val="00894541"/>
    <w:rsid w:val="00894870"/>
    <w:rsid w:val="00896E64"/>
    <w:rsid w:val="0089702A"/>
    <w:rsid w:val="0089740F"/>
    <w:rsid w:val="008A0F4D"/>
    <w:rsid w:val="008A1A90"/>
    <w:rsid w:val="008A1F67"/>
    <w:rsid w:val="008A30A7"/>
    <w:rsid w:val="008A438F"/>
    <w:rsid w:val="008B0846"/>
    <w:rsid w:val="008B1A32"/>
    <w:rsid w:val="008B2578"/>
    <w:rsid w:val="008B328F"/>
    <w:rsid w:val="008B3E0C"/>
    <w:rsid w:val="008B412E"/>
    <w:rsid w:val="008B5CAF"/>
    <w:rsid w:val="008B7030"/>
    <w:rsid w:val="008C06D2"/>
    <w:rsid w:val="008C0BAA"/>
    <w:rsid w:val="008C2606"/>
    <w:rsid w:val="008C3F3E"/>
    <w:rsid w:val="008C4A8C"/>
    <w:rsid w:val="008C5929"/>
    <w:rsid w:val="008C5C51"/>
    <w:rsid w:val="008C6163"/>
    <w:rsid w:val="008D039C"/>
    <w:rsid w:val="008D1081"/>
    <w:rsid w:val="008D1359"/>
    <w:rsid w:val="008D1A8B"/>
    <w:rsid w:val="008D3A7D"/>
    <w:rsid w:val="008D4AA2"/>
    <w:rsid w:val="008D528D"/>
    <w:rsid w:val="008D5453"/>
    <w:rsid w:val="008D5A63"/>
    <w:rsid w:val="008E20E0"/>
    <w:rsid w:val="008E224A"/>
    <w:rsid w:val="008E2D97"/>
    <w:rsid w:val="008E3230"/>
    <w:rsid w:val="008E39CD"/>
    <w:rsid w:val="008E6B52"/>
    <w:rsid w:val="008E6B7D"/>
    <w:rsid w:val="008E7412"/>
    <w:rsid w:val="008F2231"/>
    <w:rsid w:val="008F2B65"/>
    <w:rsid w:val="008F4D86"/>
    <w:rsid w:val="008F5F93"/>
    <w:rsid w:val="008F6924"/>
    <w:rsid w:val="008F7FB1"/>
    <w:rsid w:val="00901EED"/>
    <w:rsid w:val="00903EED"/>
    <w:rsid w:val="00906229"/>
    <w:rsid w:val="00906558"/>
    <w:rsid w:val="009139BB"/>
    <w:rsid w:val="00915D9F"/>
    <w:rsid w:val="00915DD5"/>
    <w:rsid w:val="009162C3"/>
    <w:rsid w:val="009171AB"/>
    <w:rsid w:val="00920BE3"/>
    <w:rsid w:val="00920EBC"/>
    <w:rsid w:val="0092122E"/>
    <w:rsid w:val="00922BB7"/>
    <w:rsid w:val="009230EC"/>
    <w:rsid w:val="00923D1D"/>
    <w:rsid w:val="00924A1F"/>
    <w:rsid w:val="00924A36"/>
    <w:rsid w:val="0093148E"/>
    <w:rsid w:val="00931651"/>
    <w:rsid w:val="00933538"/>
    <w:rsid w:val="009369B5"/>
    <w:rsid w:val="00937330"/>
    <w:rsid w:val="009409B3"/>
    <w:rsid w:val="009418C6"/>
    <w:rsid w:val="0094239B"/>
    <w:rsid w:val="0094258B"/>
    <w:rsid w:val="00942E15"/>
    <w:rsid w:val="00944AFF"/>
    <w:rsid w:val="00944EAE"/>
    <w:rsid w:val="00946880"/>
    <w:rsid w:val="00946BFA"/>
    <w:rsid w:val="00946E1D"/>
    <w:rsid w:val="00947263"/>
    <w:rsid w:val="009509CA"/>
    <w:rsid w:val="00951113"/>
    <w:rsid w:val="0095151E"/>
    <w:rsid w:val="00953673"/>
    <w:rsid w:val="0095389C"/>
    <w:rsid w:val="009552C7"/>
    <w:rsid w:val="00955687"/>
    <w:rsid w:val="00956B00"/>
    <w:rsid w:val="00957F39"/>
    <w:rsid w:val="009600BC"/>
    <w:rsid w:val="009632D2"/>
    <w:rsid w:val="0096358F"/>
    <w:rsid w:val="00963C24"/>
    <w:rsid w:val="009647B0"/>
    <w:rsid w:val="009651A9"/>
    <w:rsid w:val="00965AF3"/>
    <w:rsid w:val="00965D93"/>
    <w:rsid w:val="0096748E"/>
    <w:rsid w:val="009708CE"/>
    <w:rsid w:val="009709D4"/>
    <w:rsid w:val="00970B1C"/>
    <w:rsid w:val="00970C84"/>
    <w:rsid w:val="0097101F"/>
    <w:rsid w:val="00972A1D"/>
    <w:rsid w:val="00975083"/>
    <w:rsid w:val="00975845"/>
    <w:rsid w:val="0098052C"/>
    <w:rsid w:val="009808DC"/>
    <w:rsid w:val="009809FE"/>
    <w:rsid w:val="00980F35"/>
    <w:rsid w:val="009836FC"/>
    <w:rsid w:val="00983B50"/>
    <w:rsid w:val="009903A6"/>
    <w:rsid w:val="00991081"/>
    <w:rsid w:val="00993C24"/>
    <w:rsid w:val="009947C1"/>
    <w:rsid w:val="00994D2D"/>
    <w:rsid w:val="00995E13"/>
    <w:rsid w:val="00995EE0"/>
    <w:rsid w:val="009960DA"/>
    <w:rsid w:val="009A0FE5"/>
    <w:rsid w:val="009A2CCE"/>
    <w:rsid w:val="009A3A4C"/>
    <w:rsid w:val="009A5B1B"/>
    <w:rsid w:val="009A5CED"/>
    <w:rsid w:val="009A5F0F"/>
    <w:rsid w:val="009A71DE"/>
    <w:rsid w:val="009B094E"/>
    <w:rsid w:val="009B430F"/>
    <w:rsid w:val="009B5A25"/>
    <w:rsid w:val="009C0C4A"/>
    <w:rsid w:val="009C1832"/>
    <w:rsid w:val="009C2650"/>
    <w:rsid w:val="009C326A"/>
    <w:rsid w:val="009C388E"/>
    <w:rsid w:val="009C3DD5"/>
    <w:rsid w:val="009C4367"/>
    <w:rsid w:val="009C5220"/>
    <w:rsid w:val="009C62DE"/>
    <w:rsid w:val="009C721C"/>
    <w:rsid w:val="009C7278"/>
    <w:rsid w:val="009D0A42"/>
    <w:rsid w:val="009D2666"/>
    <w:rsid w:val="009D4E7B"/>
    <w:rsid w:val="009D5461"/>
    <w:rsid w:val="009D5D7E"/>
    <w:rsid w:val="009D7529"/>
    <w:rsid w:val="009D7C5F"/>
    <w:rsid w:val="009E081C"/>
    <w:rsid w:val="009E2DDA"/>
    <w:rsid w:val="009E30AE"/>
    <w:rsid w:val="009E37B1"/>
    <w:rsid w:val="009E71DF"/>
    <w:rsid w:val="009E7694"/>
    <w:rsid w:val="009E77B0"/>
    <w:rsid w:val="009F0E6C"/>
    <w:rsid w:val="009F1A76"/>
    <w:rsid w:val="009F4BFA"/>
    <w:rsid w:val="009F5873"/>
    <w:rsid w:val="009F5D25"/>
    <w:rsid w:val="009F73DB"/>
    <w:rsid w:val="009F76A8"/>
    <w:rsid w:val="00A0040B"/>
    <w:rsid w:val="00A0053A"/>
    <w:rsid w:val="00A029F3"/>
    <w:rsid w:val="00A02E20"/>
    <w:rsid w:val="00A0323F"/>
    <w:rsid w:val="00A04903"/>
    <w:rsid w:val="00A05CEF"/>
    <w:rsid w:val="00A07451"/>
    <w:rsid w:val="00A10C38"/>
    <w:rsid w:val="00A11551"/>
    <w:rsid w:val="00A1213D"/>
    <w:rsid w:val="00A12548"/>
    <w:rsid w:val="00A12DA8"/>
    <w:rsid w:val="00A15932"/>
    <w:rsid w:val="00A1593E"/>
    <w:rsid w:val="00A219A8"/>
    <w:rsid w:val="00A22802"/>
    <w:rsid w:val="00A23B82"/>
    <w:rsid w:val="00A23EAC"/>
    <w:rsid w:val="00A25C55"/>
    <w:rsid w:val="00A30292"/>
    <w:rsid w:val="00A33901"/>
    <w:rsid w:val="00A3657C"/>
    <w:rsid w:val="00A36EC9"/>
    <w:rsid w:val="00A42B7D"/>
    <w:rsid w:val="00A4325C"/>
    <w:rsid w:val="00A43DDC"/>
    <w:rsid w:val="00A44BC8"/>
    <w:rsid w:val="00A4590B"/>
    <w:rsid w:val="00A52300"/>
    <w:rsid w:val="00A52348"/>
    <w:rsid w:val="00A52AB7"/>
    <w:rsid w:val="00A52E48"/>
    <w:rsid w:val="00A533F4"/>
    <w:rsid w:val="00A535F7"/>
    <w:rsid w:val="00A53AD6"/>
    <w:rsid w:val="00A5463C"/>
    <w:rsid w:val="00A5512E"/>
    <w:rsid w:val="00A55ED7"/>
    <w:rsid w:val="00A56333"/>
    <w:rsid w:val="00A5692B"/>
    <w:rsid w:val="00A56BE3"/>
    <w:rsid w:val="00A62B20"/>
    <w:rsid w:val="00A64060"/>
    <w:rsid w:val="00A647BD"/>
    <w:rsid w:val="00A709E4"/>
    <w:rsid w:val="00A71872"/>
    <w:rsid w:val="00A72160"/>
    <w:rsid w:val="00A737B6"/>
    <w:rsid w:val="00A75071"/>
    <w:rsid w:val="00A76EBE"/>
    <w:rsid w:val="00A8075A"/>
    <w:rsid w:val="00A808E3"/>
    <w:rsid w:val="00A81A54"/>
    <w:rsid w:val="00A85281"/>
    <w:rsid w:val="00A85B0D"/>
    <w:rsid w:val="00A8600E"/>
    <w:rsid w:val="00A86039"/>
    <w:rsid w:val="00A8607C"/>
    <w:rsid w:val="00A8609C"/>
    <w:rsid w:val="00A906C2"/>
    <w:rsid w:val="00A90842"/>
    <w:rsid w:val="00A91F49"/>
    <w:rsid w:val="00A93292"/>
    <w:rsid w:val="00A93E72"/>
    <w:rsid w:val="00A94671"/>
    <w:rsid w:val="00A97B77"/>
    <w:rsid w:val="00AA045B"/>
    <w:rsid w:val="00AA062C"/>
    <w:rsid w:val="00AA0BCE"/>
    <w:rsid w:val="00AA23DE"/>
    <w:rsid w:val="00AA2E02"/>
    <w:rsid w:val="00AA3494"/>
    <w:rsid w:val="00AA4EED"/>
    <w:rsid w:val="00AA514D"/>
    <w:rsid w:val="00AA7CD8"/>
    <w:rsid w:val="00AB1DBE"/>
    <w:rsid w:val="00AB1E58"/>
    <w:rsid w:val="00AB45F2"/>
    <w:rsid w:val="00AB4B0F"/>
    <w:rsid w:val="00AB4FEC"/>
    <w:rsid w:val="00AB7102"/>
    <w:rsid w:val="00AC16C0"/>
    <w:rsid w:val="00AC281C"/>
    <w:rsid w:val="00AC2983"/>
    <w:rsid w:val="00AC3516"/>
    <w:rsid w:val="00AC355E"/>
    <w:rsid w:val="00AC3A1B"/>
    <w:rsid w:val="00AC4646"/>
    <w:rsid w:val="00AC47AF"/>
    <w:rsid w:val="00AC58FF"/>
    <w:rsid w:val="00AD0808"/>
    <w:rsid w:val="00AD1543"/>
    <w:rsid w:val="00AD1981"/>
    <w:rsid w:val="00AD1BBE"/>
    <w:rsid w:val="00AD3258"/>
    <w:rsid w:val="00AD3467"/>
    <w:rsid w:val="00AD4E76"/>
    <w:rsid w:val="00AD56E0"/>
    <w:rsid w:val="00AD5A88"/>
    <w:rsid w:val="00AD5F02"/>
    <w:rsid w:val="00AD66F3"/>
    <w:rsid w:val="00AD7333"/>
    <w:rsid w:val="00AD7DCB"/>
    <w:rsid w:val="00AE2B06"/>
    <w:rsid w:val="00AE2F45"/>
    <w:rsid w:val="00AE35FD"/>
    <w:rsid w:val="00AE3B65"/>
    <w:rsid w:val="00AE4CE3"/>
    <w:rsid w:val="00AE6203"/>
    <w:rsid w:val="00AE747C"/>
    <w:rsid w:val="00AE75CA"/>
    <w:rsid w:val="00AF02AE"/>
    <w:rsid w:val="00AF4ADE"/>
    <w:rsid w:val="00AF4E8F"/>
    <w:rsid w:val="00AF5842"/>
    <w:rsid w:val="00B00E9F"/>
    <w:rsid w:val="00B01947"/>
    <w:rsid w:val="00B01C9E"/>
    <w:rsid w:val="00B06327"/>
    <w:rsid w:val="00B06722"/>
    <w:rsid w:val="00B108A2"/>
    <w:rsid w:val="00B12537"/>
    <w:rsid w:val="00B13F16"/>
    <w:rsid w:val="00B142B6"/>
    <w:rsid w:val="00B152CB"/>
    <w:rsid w:val="00B154B8"/>
    <w:rsid w:val="00B15B0A"/>
    <w:rsid w:val="00B17491"/>
    <w:rsid w:val="00B17BB2"/>
    <w:rsid w:val="00B17E76"/>
    <w:rsid w:val="00B208C7"/>
    <w:rsid w:val="00B209E4"/>
    <w:rsid w:val="00B213EB"/>
    <w:rsid w:val="00B21756"/>
    <w:rsid w:val="00B21D73"/>
    <w:rsid w:val="00B228BE"/>
    <w:rsid w:val="00B24E6C"/>
    <w:rsid w:val="00B24FF4"/>
    <w:rsid w:val="00B2551C"/>
    <w:rsid w:val="00B26868"/>
    <w:rsid w:val="00B2792E"/>
    <w:rsid w:val="00B320D8"/>
    <w:rsid w:val="00B32B79"/>
    <w:rsid w:val="00B34201"/>
    <w:rsid w:val="00B3689C"/>
    <w:rsid w:val="00B420E9"/>
    <w:rsid w:val="00B42492"/>
    <w:rsid w:val="00B42D2A"/>
    <w:rsid w:val="00B43234"/>
    <w:rsid w:val="00B43EB8"/>
    <w:rsid w:val="00B446A6"/>
    <w:rsid w:val="00B45507"/>
    <w:rsid w:val="00B460E1"/>
    <w:rsid w:val="00B4673A"/>
    <w:rsid w:val="00B474D5"/>
    <w:rsid w:val="00B511B8"/>
    <w:rsid w:val="00B51CED"/>
    <w:rsid w:val="00B53234"/>
    <w:rsid w:val="00B54A9A"/>
    <w:rsid w:val="00B5598F"/>
    <w:rsid w:val="00B55C0D"/>
    <w:rsid w:val="00B57917"/>
    <w:rsid w:val="00B60055"/>
    <w:rsid w:val="00B61E3B"/>
    <w:rsid w:val="00B63469"/>
    <w:rsid w:val="00B63F5A"/>
    <w:rsid w:val="00B65DC1"/>
    <w:rsid w:val="00B6641E"/>
    <w:rsid w:val="00B665DD"/>
    <w:rsid w:val="00B7476F"/>
    <w:rsid w:val="00B74EB1"/>
    <w:rsid w:val="00B75B4F"/>
    <w:rsid w:val="00B75DD9"/>
    <w:rsid w:val="00B76034"/>
    <w:rsid w:val="00B76AAB"/>
    <w:rsid w:val="00B77932"/>
    <w:rsid w:val="00B80398"/>
    <w:rsid w:val="00B80E0F"/>
    <w:rsid w:val="00B82323"/>
    <w:rsid w:val="00B824AB"/>
    <w:rsid w:val="00B8325D"/>
    <w:rsid w:val="00B915E4"/>
    <w:rsid w:val="00B92CAF"/>
    <w:rsid w:val="00B93436"/>
    <w:rsid w:val="00B94586"/>
    <w:rsid w:val="00B94873"/>
    <w:rsid w:val="00B950DF"/>
    <w:rsid w:val="00B970AB"/>
    <w:rsid w:val="00B97471"/>
    <w:rsid w:val="00BA0A38"/>
    <w:rsid w:val="00BA225A"/>
    <w:rsid w:val="00BA2C80"/>
    <w:rsid w:val="00BA4C34"/>
    <w:rsid w:val="00BA54D8"/>
    <w:rsid w:val="00BA6BF2"/>
    <w:rsid w:val="00BA6C94"/>
    <w:rsid w:val="00BA7DE5"/>
    <w:rsid w:val="00BB0FF2"/>
    <w:rsid w:val="00BB1DAC"/>
    <w:rsid w:val="00BB25A8"/>
    <w:rsid w:val="00BB3BA0"/>
    <w:rsid w:val="00BB405A"/>
    <w:rsid w:val="00BB629A"/>
    <w:rsid w:val="00BB6D2C"/>
    <w:rsid w:val="00BB79FB"/>
    <w:rsid w:val="00BB7AD1"/>
    <w:rsid w:val="00BC000D"/>
    <w:rsid w:val="00BC0B1B"/>
    <w:rsid w:val="00BC1C31"/>
    <w:rsid w:val="00BC1C3A"/>
    <w:rsid w:val="00BC2D7F"/>
    <w:rsid w:val="00BC5886"/>
    <w:rsid w:val="00BD0DA4"/>
    <w:rsid w:val="00BD1C6C"/>
    <w:rsid w:val="00BD4975"/>
    <w:rsid w:val="00BD7F2B"/>
    <w:rsid w:val="00BE0F1C"/>
    <w:rsid w:val="00BE1BED"/>
    <w:rsid w:val="00BE1F0B"/>
    <w:rsid w:val="00BE2671"/>
    <w:rsid w:val="00BE2713"/>
    <w:rsid w:val="00BE2A4C"/>
    <w:rsid w:val="00BE30C8"/>
    <w:rsid w:val="00BE40C4"/>
    <w:rsid w:val="00BE4ADA"/>
    <w:rsid w:val="00BE52EC"/>
    <w:rsid w:val="00BE53E0"/>
    <w:rsid w:val="00BE70B7"/>
    <w:rsid w:val="00BE7834"/>
    <w:rsid w:val="00BF05C5"/>
    <w:rsid w:val="00BF0990"/>
    <w:rsid w:val="00BF35E1"/>
    <w:rsid w:val="00BF3DA2"/>
    <w:rsid w:val="00BF413F"/>
    <w:rsid w:val="00BF44FF"/>
    <w:rsid w:val="00BF5CF0"/>
    <w:rsid w:val="00C00061"/>
    <w:rsid w:val="00C008E4"/>
    <w:rsid w:val="00C00A63"/>
    <w:rsid w:val="00C01EE1"/>
    <w:rsid w:val="00C02D9E"/>
    <w:rsid w:val="00C03243"/>
    <w:rsid w:val="00C03E07"/>
    <w:rsid w:val="00C041A2"/>
    <w:rsid w:val="00C04E01"/>
    <w:rsid w:val="00C078F5"/>
    <w:rsid w:val="00C10924"/>
    <w:rsid w:val="00C10B6C"/>
    <w:rsid w:val="00C119F7"/>
    <w:rsid w:val="00C12013"/>
    <w:rsid w:val="00C1247A"/>
    <w:rsid w:val="00C13BA4"/>
    <w:rsid w:val="00C157CA"/>
    <w:rsid w:val="00C15C8F"/>
    <w:rsid w:val="00C1650D"/>
    <w:rsid w:val="00C1680A"/>
    <w:rsid w:val="00C20075"/>
    <w:rsid w:val="00C20D25"/>
    <w:rsid w:val="00C215E3"/>
    <w:rsid w:val="00C24398"/>
    <w:rsid w:val="00C26F48"/>
    <w:rsid w:val="00C27424"/>
    <w:rsid w:val="00C33202"/>
    <w:rsid w:val="00C334B0"/>
    <w:rsid w:val="00C35590"/>
    <w:rsid w:val="00C3685E"/>
    <w:rsid w:val="00C41148"/>
    <w:rsid w:val="00C441A8"/>
    <w:rsid w:val="00C4636F"/>
    <w:rsid w:val="00C471C6"/>
    <w:rsid w:val="00C50B67"/>
    <w:rsid w:val="00C524B2"/>
    <w:rsid w:val="00C52972"/>
    <w:rsid w:val="00C53316"/>
    <w:rsid w:val="00C558C3"/>
    <w:rsid w:val="00C56892"/>
    <w:rsid w:val="00C56F60"/>
    <w:rsid w:val="00C575DF"/>
    <w:rsid w:val="00C60601"/>
    <w:rsid w:val="00C624A4"/>
    <w:rsid w:val="00C62776"/>
    <w:rsid w:val="00C62C2D"/>
    <w:rsid w:val="00C63912"/>
    <w:rsid w:val="00C63FE4"/>
    <w:rsid w:val="00C65101"/>
    <w:rsid w:val="00C66643"/>
    <w:rsid w:val="00C67494"/>
    <w:rsid w:val="00C700F0"/>
    <w:rsid w:val="00C70D20"/>
    <w:rsid w:val="00C71A6F"/>
    <w:rsid w:val="00C725BC"/>
    <w:rsid w:val="00C7325F"/>
    <w:rsid w:val="00C74F7E"/>
    <w:rsid w:val="00C75518"/>
    <w:rsid w:val="00C778EF"/>
    <w:rsid w:val="00C77D41"/>
    <w:rsid w:val="00C77F77"/>
    <w:rsid w:val="00C81028"/>
    <w:rsid w:val="00C81721"/>
    <w:rsid w:val="00C81E4B"/>
    <w:rsid w:val="00C82512"/>
    <w:rsid w:val="00C8299A"/>
    <w:rsid w:val="00C84FA0"/>
    <w:rsid w:val="00C855C4"/>
    <w:rsid w:val="00C86145"/>
    <w:rsid w:val="00C863C3"/>
    <w:rsid w:val="00C876A6"/>
    <w:rsid w:val="00C879E2"/>
    <w:rsid w:val="00C90A44"/>
    <w:rsid w:val="00C9114F"/>
    <w:rsid w:val="00C913C1"/>
    <w:rsid w:val="00C94AF1"/>
    <w:rsid w:val="00C95979"/>
    <w:rsid w:val="00CA1E4A"/>
    <w:rsid w:val="00CA1EE9"/>
    <w:rsid w:val="00CA2C96"/>
    <w:rsid w:val="00CA2EA0"/>
    <w:rsid w:val="00CA3E09"/>
    <w:rsid w:val="00CA7FD8"/>
    <w:rsid w:val="00CB0676"/>
    <w:rsid w:val="00CB2551"/>
    <w:rsid w:val="00CB403A"/>
    <w:rsid w:val="00CB59F0"/>
    <w:rsid w:val="00CB6167"/>
    <w:rsid w:val="00CB6821"/>
    <w:rsid w:val="00CB756F"/>
    <w:rsid w:val="00CC0E4C"/>
    <w:rsid w:val="00CC1165"/>
    <w:rsid w:val="00CC18AC"/>
    <w:rsid w:val="00CC21B4"/>
    <w:rsid w:val="00CC4BF2"/>
    <w:rsid w:val="00CC5D30"/>
    <w:rsid w:val="00CC5D77"/>
    <w:rsid w:val="00CC698E"/>
    <w:rsid w:val="00CC6E78"/>
    <w:rsid w:val="00CD0C40"/>
    <w:rsid w:val="00CD18A8"/>
    <w:rsid w:val="00CD41F2"/>
    <w:rsid w:val="00CD4B1B"/>
    <w:rsid w:val="00CD7CAA"/>
    <w:rsid w:val="00CD7D14"/>
    <w:rsid w:val="00CE0046"/>
    <w:rsid w:val="00CE06CB"/>
    <w:rsid w:val="00CE0C2B"/>
    <w:rsid w:val="00CE0CD8"/>
    <w:rsid w:val="00CE127E"/>
    <w:rsid w:val="00CE177D"/>
    <w:rsid w:val="00CE268F"/>
    <w:rsid w:val="00CE33FC"/>
    <w:rsid w:val="00CE661E"/>
    <w:rsid w:val="00CE7890"/>
    <w:rsid w:val="00CF0946"/>
    <w:rsid w:val="00CF125B"/>
    <w:rsid w:val="00CF3145"/>
    <w:rsid w:val="00CF37DD"/>
    <w:rsid w:val="00CF6537"/>
    <w:rsid w:val="00CF6A2C"/>
    <w:rsid w:val="00CF6AE1"/>
    <w:rsid w:val="00D00CD1"/>
    <w:rsid w:val="00D00FBB"/>
    <w:rsid w:val="00D0307B"/>
    <w:rsid w:val="00D05067"/>
    <w:rsid w:val="00D05705"/>
    <w:rsid w:val="00D060B9"/>
    <w:rsid w:val="00D06E71"/>
    <w:rsid w:val="00D07070"/>
    <w:rsid w:val="00D10FD0"/>
    <w:rsid w:val="00D11225"/>
    <w:rsid w:val="00D11478"/>
    <w:rsid w:val="00D132A1"/>
    <w:rsid w:val="00D1351F"/>
    <w:rsid w:val="00D15561"/>
    <w:rsid w:val="00D161B4"/>
    <w:rsid w:val="00D169E0"/>
    <w:rsid w:val="00D16B36"/>
    <w:rsid w:val="00D23448"/>
    <w:rsid w:val="00D23D1F"/>
    <w:rsid w:val="00D250A0"/>
    <w:rsid w:val="00D27A64"/>
    <w:rsid w:val="00D30353"/>
    <w:rsid w:val="00D3342F"/>
    <w:rsid w:val="00D33BBB"/>
    <w:rsid w:val="00D34CB1"/>
    <w:rsid w:val="00D354AD"/>
    <w:rsid w:val="00D36F9D"/>
    <w:rsid w:val="00D43CE4"/>
    <w:rsid w:val="00D4403B"/>
    <w:rsid w:val="00D44CDA"/>
    <w:rsid w:val="00D44D14"/>
    <w:rsid w:val="00D46B85"/>
    <w:rsid w:val="00D504FB"/>
    <w:rsid w:val="00D506DE"/>
    <w:rsid w:val="00D511B3"/>
    <w:rsid w:val="00D51B64"/>
    <w:rsid w:val="00D53B9C"/>
    <w:rsid w:val="00D53EBF"/>
    <w:rsid w:val="00D57A32"/>
    <w:rsid w:val="00D6320D"/>
    <w:rsid w:val="00D64299"/>
    <w:rsid w:val="00D64FAE"/>
    <w:rsid w:val="00D675B7"/>
    <w:rsid w:val="00D70BAC"/>
    <w:rsid w:val="00D72FF2"/>
    <w:rsid w:val="00D752AC"/>
    <w:rsid w:val="00D75BDC"/>
    <w:rsid w:val="00D76D4C"/>
    <w:rsid w:val="00D77888"/>
    <w:rsid w:val="00D77BD4"/>
    <w:rsid w:val="00D81299"/>
    <w:rsid w:val="00D83355"/>
    <w:rsid w:val="00D8415E"/>
    <w:rsid w:val="00D9009A"/>
    <w:rsid w:val="00D9176E"/>
    <w:rsid w:val="00D935FB"/>
    <w:rsid w:val="00D93675"/>
    <w:rsid w:val="00D942F7"/>
    <w:rsid w:val="00D94B42"/>
    <w:rsid w:val="00D95624"/>
    <w:rsid w:val="00D95830"/>
    <w:rsid w:val="00D95A6E"/>
    <w:rsid w:val="00D96B20"/>
    <w:rsid w:val="00DA04D8"/>
    <w:rsid w:val="00DA0501"/>
    <w:rsid w:val="00DA09B8"/>
    <w:rsid w:val="00DA2728"/>
    <w:rsid w:val="00DA4609"/>
    <w:rsid w:val="00DA4CF2"/>
    <w:rsid w:val="00DA54E0"/>
    <w:rsid w:val="00DA6967"/>
    <w:rsid w:val="00DA6F47"/>
    <w:rsid w:val="00DA7056"/>
    <w:rsid w:val="00DB2007"/>
    <w:rsid w:val="00DB3B32"/>
    <w:rsid w:val="00DB3F95"/>
    <w:rsid w:val="00DB543E"/>
    <w:rsid w:val="00DB6C34"/>
    <w:rsid w:val="00DB733F"/>
    <w:rsid w:val="00DC34A1"/>
    <w:rsid w:val="00DC4CA2"/>
    <w:rsid w:val="00DC6A5F"/>
    <w:rsid w:val="00DC7328"/>
    <w:rsid w:val="00DD2692"/>
    <w:rsid w:val="00DD6324"/>
    <w:rsid w:val="00DE0D21"/>
    <w:rsid w:val="00DE2AE9"/>
    <w:rsid w:val="00DE43EA"/>
    <w:rsid w:val="00DF1565"/>
    <w:rsid w:val="00DF158C"/>
    <w:rsid w:val="00DF1FF2"/>
    <w:rsid w:val="00DF4215"/>
    <w:rsid w:val="00DF49F8"/>
    <w:rsid w:val="00DF5148"/>
    <w:rsid w:val="00DF6547"/>
    <w:rsid w:val="00E0094D"/>
    <w:rsid w:val="00E01120"/>
    <w:rsid w:val="00E031D4"/>
    <w:rsid w:val="00E03418"/>
    <w:rsid w:val="00E03A83"/>
    <w:rsid w:val="00E042B5"/>
    <w:rsid w:val="00E04F76"/>
    <w:rsid w:val="00E10514"/>
    <w:rsid w:val="00E10E91"/>
    <w:rsid w:val="00E113D8"/>
    <w:rsid w:val="00E11512"/>
    <w:rsid w:val="00E12C4F"/>
    <w:rsid w:val="00E13102"/>
    <w:rsid w:val="00E14796"/>
    <w:rsid w:val="00E1686E"/>
    <w:rsid w:val="00E168DF"/>
    <w:rsid w:val="00E21066"/>
    <w:rsid w:val="00E21906"/>
    <w:rsid w:val="00E2309B"/>
    <w:rsid w:val="00E230B2"/>
    <w:rsid w:val="00E24152"/>
    <w:rsid w:val="00E248E8"/>
    <w:rsid w:val="00E25C23"/>
    <w:rsid w:val="00E26287"/>
    <w:rsid w:val="00E263E5"/>
    <w:rsid w:val="00E263FB"/>
    <w:rsid w:val="00E26967"/>
    <w:rsid w:val="00E26FD0"/>
    <w:rsid w:val="00E27199"/>
    <w:rsid w:val="00E27CCA"/>
    <w:rsid w:val="00E30040"/>
    <w:rsid w:val="00E307A4"/>
    <w:rsid w:val="00E30CF0"/>
    <w:rsid w:val="00E3135B"/>
    <w:rsid w:val="00E3165D"/>
    <w:rsid w:val="00E31C74"/>
    <w:rsid w:val="00E324F8"/>
    <w:rsid w:val="00E32A78"/>
    <w:rsid w:val="00E35C71"/>
    <w:rsid w:val="00E37187"/>
    <w:rsid w:val="00E37A7D"/>
    <w:rsid w:val="00E40277"/>
    <w:rsid w:val="00E4058A"/>
    <w:rsid w:val="00E420DF"/>
    <w:rsid w:val="00E4295C"/>
    <w:rsid w:val="00E43DC7"/>
    <w:rsid w:val="00E46C6D"/>
    <w:rsid w:val="00E503FA"/>
    <w:rsid w:val="00E50D83"/>
    <w:rsid w:val="00E515CD"/>
    <w:rsid w:val="00E51702"/>
    <w:rsid w:val="00E52DA8"/>
    <w:rsid w:val="00E5616A"/>
    <w:rsid w:val="00E56491"/>
    <w:rsid w:val="00E56BC5"/>
    <w:rsid w:val="00E56BD8"/>
    <w:rsid w:val="00E622EC"/>
    <w:rsid w:val="00E62CEA"/>
    <w:rsid w:val="00E635DD"/>
    <w:rsid w:val="00E64175"/>
    <w:rsid w:val="00E6468A"/>
    <w:rsid w:val="00E65DD4"/>
    <w:rsid w:val="00E6784B"/>
    <w:rsid w:val="00E67CD6"/>
    <w:rsid w:val="00E71323"/>
    <w:rsid w:val="00E72265"/>
    <w:rsid w:val="00E74C22"/>
    <w:rsid w:val="00E759ED"/>
    <w:rsid w:val="00E770BF"/>
    <w:rsid w:val="00E819BE"/>
    <w:rsid w:val="00E845CA"/>
    <w:rsid w:val="00E851C7"/>
    <w:rsid w:val="00E85754"/>
    <w:rsid w:val="00E85EEF"/>
    <w:rsid w:val="00E86ABB"/>
    <w:rsid w:val="00E87BB5"/>
    <w:rsid w:val="00E90A97"/>
    <w:rsid w:val="00E91D39"/>
    <w:rsid w:val="00E92D9B"/>
    <w:rsid w:val="00E92FD1"/>
    <w:rsid w:val="00E93E63"/>
    <w:rsid w:val="00E94FDC"/>
    <w:rsid w:val="00E958D1"/>
    <w:rsid w:val="00E95A25"/>
    <w:rsid w:val="00E95ABA"/>
    <w:rsid w:val="00E95D15"/>
    <w:rsid w:val="00EA06DC"/>
    <w:rsid w:val="00EA07E3"/>
    <w:rsid w:val="00EA0F3C"/>
    <w:rsid w:val="00EA16B3"/>
    <w:rsid w:val="00EA1CF8"/>
    <w:rsid w:val="00EA33CC"/>
    <w:rsid w:val="00EA462E"/>
    <w:rsid w:val="00EA563B"/>
    <w:rsid w:val="00EA5A86"/>
    <w:rsid w:val="00EA61F2"/>
    <w:rsid w:val="00EA6A25"/>
    <w:rsid w:val="00EA71ED"/>
    <w:rsid w:val="00EA7A0F"/>
    <w:rsid w:val="00EA7EFE"/>
    <w:rsid w:val="00EB057B"/>
    <w:rsid w:val="00EB12FD"/>
    <w:rsid w:val="00EB2349"/>
    <w:rsid w:val="00EB23B8"/>
    <w:rsid w:val="00EB3705"/>
    <w:rsid w:val="00EB4230"/>
    <w:rsid w:val="00EB45E0"/>
    <w:rsid w:val="00EB4C70"/>
    <w:rsid w:val="00EB50F7"/>
    <w:rsid w:val="00EB5FD7"/>
    <w:rsid w:val="00EB6258"/>
    <w:rsid w:val="00EB7B07"/>
    <w:rsid w:val="00EC0910"/>
    <w:rsid w:val="00EC1E54"/>
    <w:rsid w:val="00EC33B5"/>
    <w:rsid w:val="00EC4914"/>
    <w:rsid w:val="00EC4D80"/>
    <w:rsid w:val="00EC6ED6"/>
    <w:rsid w:val="00EC7E82"/>
    <w:rsid w:val="00ED145F"/>
    <w:rsid w:val="00ED18BE"/>
    <w:rsid w:val="00ED24FB"/>
    <w:rsid w:val="00ED269A"/>
    <w:rsid w:val="00ED2907"/>
    <w:rsid w:val="00ED3195"/>
    <w:rsid w:val="00ED3897"/>
    <w:rsid w:val="00ED4F9E"/>
    <w:rsid w:val="00ED6007"/>
    <w:rsid w:val="00ED6B91"/>
    <w:rsid w:val="00ED705A"/>
    <w:rsid w:val="00EE218C"/>
    <w:rsid w:val="00EE2296"/>
    <w:rsid w:val="00EE23FE"/>
    <w:rsid w:val="00EE3021"/>
    <w:rsid w:val="00EE678B"/>
    <w:rsid w:val="00EE749E"/>
    <w:rsid w:val="00EE798E"/>
    <w:rsid w:val="00EE7CF0"/>
    <w:rsid w:val="00EF22D6"/>
    <w:rsid w:val="00EF5793"/>
    <w:rsid w:val="00F00547"/>
    <w:rsid w:val="00F02F70"/>
    <w:rsid w:val="00F0406A"/>
    <w:rsid w:val="00F04947"/>
    <w:rsid w:val="00F05201"/>
    <w:rsid w:val="00F054A9"/>
    <w:rsid w:val="00F05E81"/>
    <w:rsid w:val="00F075DA"/>
    <w:rsid w:val="00F14EBB"/>
    <w:rsid w:val="00F1519F"/>
    <w:rsid w:val="00F163FE"/>
    <w:rsid w:val="00F25BB4"/>
    <w:rsid w:val="00F263DF"/>
    <w:rsid w:val="00F3083A"/>
    <w:rsid w:val="00F32771"/>
    <w:rsid w:val="00F36065"/>
    <w:rsid w:val="00F37E8F"/>
    <w:rsid w:val="00F37F3F"/>
    <w:rsid w:val="00F41F0D"/>
    <w:rsid w:val="00F45512"/>
    <w:rsid w:val="00F46720"/>
    <w:rsid w:val="00F46EF5"/>
    <w:rsid w:val="00F46EF9"/>
    <w:rsid w:val="00F500A7"/>
    <w:rsid w:val="00F501B0"/>
    <w:rsid w:val="00F50970"/>
    <w:rsid w:val="00F53724"/>
    <w:rsid w:val="00F53805"/>
    <w:rsid w:val="00F5434F"/>
    <w:rsid w:val="00F5683B"/>
    <w:rsid w:val="00F613A2"/>
    <w:rsid w:val="00F634A5"/>
    <w:rsid w:val="00F661BA"/>
    <w:rsid w:val="00F7251B"/>
    <w:rsid w:val="00F72FE2"/>
    <w:rsid w:val="00F74791"/>
    <w:rsid w:val="00F75A1C"/>
    <w:rsid w:val="00F8033D"/>
    <w:rsid w:val="00F80847"/>
    <w:rsid w:val="00F81361"/>
    <w:rsid w:val="00F81A3C"/>
    <w:rsid w:val="00F85AA3"/>
    <w:rsid w:val="00F86B62"/>
    <w:rsid w:val="00F8734A"/>
    <w:rsid w:val="00F87AB7"/>
    <w:rsid w:val="00F90490"/>
    <w:rsid w:val="00F924C0"/>
    <w:rsid w:val="00F94539"/>
    <w:rsid w:val="00F9472D"/>
    <w:rsid w:val="00F96AB7"/>
    <w:rsid w:val="00FA0225"/>
    <w:rsid w:val="00FA1001"/>
    <w:rsid w:val="00FA1616"/>
    <w:rsid w:val="00FA3150"/>
    <w:rsid w:val="00FA46AE"/>
    <w:rsid w:val="00FA646A"/>
    <w:rsid w:val="00FA74E0"/>
    <w:rsid w:val="00FB0F65"/>
    <w:rsid w:val="00FB2C4D"/>
    <w:rsid w:val="00FB2F5F"/>
    <w:rsid w:val="00FB46FA"/>
    <w:rsid w:val="00FB5547"/>
    <w:rsid w:val="00FB635D"/>
    <w:rsid w:val="00FB64A3"/>
    <w:rsid w:val="00FB6550"/>
    <w:rsid w:val="00FC140E"/>
    <w:rsid w:val="00FC4731"/>
    <w:rsid w:val="00FC4EB5"/>
    <w:rsid w:val="00FC5F30"/>
    <w:rsid w:val="00FD0C5E"/>
    <w:rsid w:val="00FD1736"/>
    <w:rsid w:val="00FD241A"/>
    <w:rsid w:val="00FD33C0"/>
    <w:rsid w:val="00FD3AE1"/>
    <w:rsid w:val="00FD457B"/>
    <w:rsid w:val="00FD6F5A"/>
    <w:rsid w:val="00FD74B9"/>
    <w:rsid w:val="00FD7588"/>
    <w:rsid w:val="00FD7B54"/>
    <w:rsid w:val="00FE0081"/>
    <w:rsid w:val="00FE0806"/>
    <w:rsid w:val="00FE119B"/>
    <w:rsid w:val="00FE127D"/>
    <w:rsid w:val="00FE18B3"/>
    <w:rsid w:val="00FE1E5E"/>
    <w:rsid w:val="00FE29AF"/>
    <w:rsid w:val="00FE333A"/>
    <w:rsid w:val="00FE49E2"/>
    <w:rsid w:val="00FE5E97"/>
    <w:rsid w:val="00FE7138"/>
    <w:rsid w:val="00FE7902"/>
    <w:rsid w:val="00FF13CF"/>
    <w:rsid w:val="00FF2DC0"/>
    <w:rsid w:val="00FF34FB"/>
    <w:rsid w:val="00FF3DFF"/>
    <w:rsid w:val="00FF40C9"/>
    <w:rsid w:val="00FF5364"/>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CE1707"/>
  <w15:docId w15:val="{1AE665FA-ABD6-49E3-9E67-1825EBE0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5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E2D97"/>
    <w:pPr>
      <w:keepNext/>
      <w:jc w:val="both"/>
      <w:outlineLvl w:val="2"/>
    </w:pPr>
    <w:rPr>
      <w:rFonts w:ascii="Arial" w:hAnsi="Arial" w:cs="Arial"/>
      <w:b/>
      <w:sz w:val="20"/>
      <w:szCs w:val="20"/>
    </w:rPr>
  </w:style>
  <w:style w:type="paragraph" w:styleId="Heading4">
    <w:name w:val="heading 4"/>
    <w:basedOn w:val="Normal"/>
    <w:next w:val="Normal"/>
    <w:link w:val="Heading4Char"/>
    <w:unhideWhenUsed/>
    <w:qFormat/>
    <w:rsid w:val="006A10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D9E"/>
    <w:pPr>
      <w:tabs>
        <w:tab w:val="center" w:pos="4153"/>
        <w:tab w:val="right" w:pos="8306"/>
      </w:tabs>
    </w:pPr>
  </w:style>
  <w:style w:type="character" w:styleId="PageNumber">
    <w:name w:val="page number"/>
    <w:basedOn w:val="DefaultParagraphFont"/>
    <w:rsid w:val="00025D9E"/>
  </w:style>
  <w:style w:type="paragraph" w:styleId="Footer">
    <w:name w:val="footer"/>
    <w:basedOn w:val="Normal"/>
    <w:rsid w:val="00025D9E"/>
    <w:pPr>
      <w:tabs>
        <w:tab w:val="center" w:pos="4153"/>
        <w:tab w:val="right" w:pos="8306"/>
      </w:tabs>
    </w:pPr>
  </w:style>
  <w:style w:type="paragraph" w:styleId="DocumentMap">
    <w:name w:val="Document Map"/>
    <w:basedOn w:val="Normal"/>
    <w:semiHidden/>
    <w:rsid w:val="00A10C38"/>
    <w:pPr>
      <w:shd w:val="clear" w:color="auto" w:fill="000080"/>
    </w:pPr>
    <w:rPr>
      <w:rFonts w:ascii="Tahoma" w:hAnsi="Tahoma" w:cs="Tahoma"/>
      <w:sz w:val="20"/>
      <w:szCs w:val="20"/>
    </w:rPr>
  </w:style>
  <w:style w:type="table" w:styleId="TableGrid">
    <w:name w:val="Table Grid"/>
    <w:basedOn w:val="TableNormal"/>
    <w:rsid w:val="00A0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2079"/>
    <w:rPr>
      <w:rFonts w:ascii="Tahoma" w:hAnsi="Tahoma" w:cs="Tahoma"/>
      <w:sz w:val="16"/>
      <w:szCs w:val="16"/>
    </w:rPr>
  </w:style>
  <w:style w:type="character" w:customStyle="1" w:styleId="BalloonTextChar">
    <w:name w:val="Balloon Text Char"/>
    <w:link w:val="BalloonText"/>
    <w:rsid w:val="005F2079"/>
    <w:rPr>
      <w:rFonts w:ascii="Tahoma" w:hAnsi="Tahoma" w:cs="Tahoma"/>
      <w:sz w:val="16"/>
      <w:szCs w:val="16"/>
    </w:rPr>
  </w:style>
  <w:style w:type="paragraph" w:styleId="ListParagraph">
    <w:name w:val="List Paragraph"/>
    <w:basedOn w:val="Normal"/>
    <w:uiPriority w:val="34"/>
    <w:qFormat/>
    <w:rsid w:val="00F00547"/>
    <w:pPr>
      <w:ind w:left="720"/>
    </w:pPr>
    <w:rPr>
      <w:lang w:val="en-US" w:eastAsia="en-US"/>
    </w:rPr>
  </w:style>
  <w:style w:type="paragraph" w:styleId="NoSpacing">
    <w:name w:val="No Spacing"/>
    <w:uiPriority w:val="1"/>
    <w:qFormat/>
    <w:rsid w:val="00F00547"/>
    <w:rPr>
      <w:sz w:val="24"/>
      <w:szCs w:val="24"/>
    </w:rPr>
  </w:style>
  <w:style w:type="character" w:customStyle="1" w:styleId="Heading3Char">
    <w:name w:val="Heading 3 Char"/>
    <w:link w:val="Heading3"/>
    <w:uiPriority w:val="99"/>
    <w:rsid w:val="008E2D97"/>
    <w:rPr>
      <w:rFonts w:ascii="Arial" w:hAnsi="Arial" w:cs="Arial"/>
      <w:b/>
    </w:rPr>
  </w:style>
  <w:style w:type="paragraph" w:styleId="BodyText">
    <w:name w:val="Body Text"/>
    <w:basedOn w:val="Normal"/>
    <w:link w:val="BodyTextChar"/>
    <w:rsid w:val="009162C3"/>
    <w:pPr>
      <w:spacing w:after="240" w:line="240" w:lineRule="atLeast"/>
      <w:ind w:firstLine="360"/>
      <w:jc w:val="both"/>
    </w:pPr>
    <w:rPr>
      <w:rFonts w:ascii="Garamond" w:hAnsi="Garamond"/>
      <w:sz w:val="22"/>
      <w:szCs w:val="20"/>
      <w:lang w:eastAsia="en-US"/>
    </w:rPr>
  </w:style>
  <w:style w:type="character" w:customStyle="1" w:styleId="BodyTextChar">
    <w:name w:val="Body Text Char"/>
    <w:basedOn w:val="DefaultParagraphFont"/>
    <w:link w:val="BodyText"/>
    <w:rsid w:val="009162C3"/>
    <w:rPr>
      <w:rFonts w:ascii="Garamond" w:hAnsi="Garamond"/>
      <w:sz w:val="22"/>
      <w:lang w:eastAsia="en-US"/>
    </w:rPr>
  </w:style>
  <w:style w:type="character" w:customStyle="1" w:styleId="Heading4Char">
    <w:name w:val="Heading 4 Char"/>
    <w:basedOn w:val="DefaultParagraphFont"/>
    <w:link w:val="Heading4"/>
    <w:rsid w:val="006A10F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BA5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54D8"/>
    <w:pPr>
      <w:spacing w:line="276" w:lineRule="auto"/>
      <w:outlineLvl w:val="9"/>
    </w:pPr>
    <w:rPr>
      <w:lang w:val="en-US" w:eastAsia="ja-JP"/>
    </w:rPr>
  </w:style>
  <w:style w:type="paragraph" w:styleId="TOC1">
    <w:name w:val="toc 1"/>
    <w:basedOn w:val="Normal"/>
    <w:next w:val="Normal"/>
    <w:autoRedefine/>
    <w:uiPriority w:val="39"/>
    <w:unhideWhenUsed/>
    <w:rsid w:val="00BA54D8"/>
    <w:pPr>
      <w:spacing w:after="100"/>
    </w:pPr>
  </w:style>
  <w:style w:type="character" w:styleId="Hyperlink">
    <w:name w:val="Hyperlink"/>
    <w:basedOn w:val="DefaultParagraphFont"/>
    <w:uiPriority w:val="99"/>
    <w:unhideWhenUsed/>
    <w:rsid w:val="00BA54D8"/>
    <w:rPr>
      <w:color w:val="0000FF" w:themeColor="hyperlink"/>
      <w:u w:val="single"/>
    </w:rPr>
  </w:style>
  <w:style w:type="paragraph" w:customStyle="1" w:styleId="Default">
    <w:name w:val="Default"/>
    <w:rsid w:val="00B17BB2"/>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0A3A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57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1d276ed-f117-47cf-ad40-12506a2c183a" xsi:nil="true"/>
    <lcf76f155ced4ddcb4097134ff3c332f xmlns="e3f49c8d-3ce6-4433-95ca-59393adc17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BC9712482CE3419D56645D50D4AE29" ma:contentTypeVersion="15" ma:contentTypeDescription="Create a new document." ma:contentTypeScope="" ma:versionID="b2dc6873b396448eb7a5121d7916517c">
  <xsd:schema xmlns:xsd="http://www.w3.org/2001/XMLSchema" xmlns:xs="http://www.w3.org/2001/XMLSchema" xmlns:p="http://schemas.microsoft.com/office/2006/metadata/properties" xmlns:ns2="e3f49c8d-3ce6-4433-95ca-59393adc177c" xmlns:ns3="21d276ed-f117-47cf-ad40-12506a2c183a" targetNamespace="http://schemas.microsoft.com/office/2006/metadata/properties" ma:root="true" ma:fieldsID="6bf56bdf3433123f3cedba65a9ea0214" ns2:_="" ns3:_="">
    <xsd:import namespace="e3f49c8d-3ce6-4433-95ca-59393adc177c"/>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49c8d-3ce6-4433-95ca-59393adc1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c33d44-fce7-4693-bae7-d6a1d44311a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7a562b1-328d-4959-a44f-e24011956546}" ma:internalName="TaxCatchAll" ma:showField="CatchAllData" ma:web="21d276ed-f117-47cf-ad40-12506a2c1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10816-A11E-4B2A-87C8-CDBDEFDA7CB5}">
  <ds:schemaRefs>
    <ds:schemaRef ds:uri="http://schemas.openxmlformats.org/officeDocument/2006/bibliography"/>
  </ds:schemaRefs>
</ds:datastoreItem>
</file>

<file path=customXml/itemProps2.xml><?xml version="1.0" encoding="utf-8"?>
<ds:datastoreItem xmlns:ds="http://schemas.openxmlformats.org/officeDocument/2006/customXml" ds:itemID="{7FA80A8B-C23C-4A55-8676-5F0CFB2A9A5B}">
  <ds:schemaRefs>
    <ds:schemaRef ds:uri="http://schemas.microsoft.com/office/2006/metadata/properties"/>
    <ds:schemaRef ds:uri="http://schemas.microsoft.com/office/infopath/2007/PartnerControls"/>
    <ds:schemaRef ds:uri="21d276ed-f117-47cf-ad40-12506a2c183a"/>
    <ds:schemaRef ds:uri="e3f49c8d-3ce6-4433-95ca-59393adc177c"/>
  </ds:schemaRefs>
</ds:datastoreItem>
</file>

<file path=customXml/itemProps3.xml><?xml version="1.0" encoding="utf-8"?>
<ds:datastoreItem xmlns:ds="http://schemas.openxmlformats.org/officeDocument/2006/customXml" ds:itemID="{A2243733-1378-43C6-8C2C-66142408D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49c8d-3ce6-4433-95ca-59393adc177c"/>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5A160-90AE-4B58-AD4D-67E6A9007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4445</Words>
  <Characters>23748</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Meeting of the Board of the Corporation</vt:lpstr>
    </vt:vector>
  </TitlesOfParts>
  <Company>North Trafford College</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Board of the Corporation</dc:title>
  <dc:creator>Barry Watson</dc:creator>
  <cp:lastModifiedBy>Yvonne Riley</cp:lastModifiedBy>
  <cp:revision>3</cp:revision>
  <cp:lastPrinted>2021-10-22T11:25:00Z</cp:lastPrinted>
  <dcterms:created xsi:type="dcterms:W3CDTF">2022-04-21T13:38:00Z</dcterms:created>
  <dcterms:modified xsi:type="dcterms:W3CDTF">2022-07-28T13:26:00Z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0x01010075BC9712482CE3419D56645D50D4AE29</vt:lpwstr>
  </property>
  <property fmtid="{D5CDD505-2E9C-101B-9397-08002B2CF9AE}" pid="3" name="MediaServiceImageTags">
    <vt:lpwstr/>
  </property>
</Properties>
</file>